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600"/>
      </w:pPr>
    </w:p>
    <w:p>
      <w:pPr>
        <w:pStyle w:val="Body"/>
        <w:spacing w:after="80"/>
        <w:jc w:val="center"/>
      </w:pPr>
      <w:r>
        <w:rPr>
          <w:b w:val="1"/>
          <w:bCs w:val="1"/>
          <w:outline w:val="0"/>
          <w:color w:val="666666"/>
          <w:u w:color="666666"/>
          <w:rtl w:val="0"/>
          <w:lang w:val="de-DE"/>
          <w14:textFill>
            <w14:solidFill>
              <w14:srgbClr w14:val="666666"/>
            </w14:solidFill>
          </w14:textFill>
        </w:rPr>
        <w:t>FORMAL PUBLIC SCOPING COMMENT</w:t>
      </w:r>
    </w:p>
    <w:p>
      <w:pPr>
        <w:pStyle w:val="Body"/>
        <w:spacing w:after="60"/>
        <w:jc w:val="center"/>
      </w:pPr>
      <w:r>
        <w:rPr>
          <w:b w:val="1"/>
          <w:bCs w:val="1"/>
          <w:outline w:val="0"/>
          <w:color w:val="1a3d2b"/>
          <w:sz w:val="36"/>
          <w:szCs w:val="36"/>
          <w:u w:color="1a3d2b"/>
          <w:rtl w:val="0"/>
          <w:lang w:val="en-US"/>
          <w14:textFill>
            <w14:solidFill>
              <w14:srgbClr w14:val="1A3D2B"/>
            </w14:solidFill>
          </w14:textFill>
        </w:rPr>
        <w:t>Bureau of Land Management (BLM)</w:t>
      </w:r>
    </w:p>
    <w:p>
      <w:pPr>
        <w:pStyle w:val="Body"/>
        <w:spacing w:after="40"/>
        <w:jc w:val="center"/>
      </w:pPr>
      <w:r>
        <w:rPr>
          <w:outline w:val="0"/>
          <w:color w:val="666666"/>
          <w:sz w:val="26"/>
          <w:szCs w:val="26"/>
          <w:u w:color="666666"/>
          <w:rtl w:val="0"/>
          <w:lang w:val="en-US"/>
          <w14:textFill>
            <w14:solidFill>
              <w14:srgbClr w14:val="666666"/>
            </w14:solidFill>
          </w14:textFill>
        </w:rPr>
        <w:t>Proposed Revision of the</w:t>
      </w:r>
    </w:p>
    <w:p>
      <w:pPr>
        <w:pStyle w:val="Body"/>
        <w:spacing w:after="30"/>
        <w:jc w:val="center"/>
      </w:pPr>
      <w:r>
        <w:rPr>
          <w:b w:val="1"/>
          <w:bCs w:val="1"/>
          <w:outline w:val="0"/>
          <w:color w:val="1a3d2b"/>
          <w:sz w:val="28"/>
          <w:szCs w:val="28"/>
          <w:u w:color="1a3d2b"/>
          <w:rtl w:val="0"/>
          <w:lang w:val="en-US"/>
          <w14:textFill>
            <w14:solidFill>
              <w14:srgbClr w14:val="1A3D2B"/>
            </w14:solidFill>
          </w14:textFill>
        </w:rPr>
        <w:t>Northwestern and Coastal Oregon Resource Management Plan</w:t>
      </w:r>
    </w:p>
    <w:p>
      <w:pPr>
        <w:pStyle w:val="Body"/>
        <w:spacing w:after="30"/>
        <w:jc w:val="center"/>
      </w:pPr>
      <w:r>
        <w:rPr>
          <w:outline w:val="0"/>
          <w:color w:val="666666"/>
          <w:u w:color="666666"/>
          <w:rtl w:val="0"/>
          <w14:textFill>
            <w14:solidFill>
              <w14:srgbClr w14:val="666666"/>
            </w14:solidFill>
          </w14:textFill>
        </w:rPr>
        <w:t>and</w:t>
      </w:r>
    </w:p>
    <w:p>
      <w:pPr>
        <w:pStyle w:val="Body"/>
        <w:spacing w:after="60"/>
        <w:jc w:val="center"/>
      </w:pPr>
      <w:r>
        <w:rPr>
          <w:b w:val="1"/>
          <w:bCs w:val="1"/>
          <w:outline w:val="0"/>
          <w:color w:val="1a3d2b"/>
          <w:sz w:val="28"/>
          <w:szCs w:val="28"/>
          <w:u w:color="1a3d2b"/>
          <w:rtl w:val="0"/>
          <w:lang w:val="en-US"/>
          <w14:textFill>
            <w14:solidFill>
              <w14:srgbClr w14:val="1A3D2B"/>
            </w14:solidFill>
          </w14:textFill>
        </w:rPr>
        <w:t>Southwestern Oregon Resource Management Plan</w:t>
      </w:r>
    </w:p>
    <w:p>
      <w:pPr>
        <w:pStyle w:val="Body"/>
        <w:pBdr>
          <w:top w:val="single" w:color="c44b1a" w:sz="8" w:space="0" w:shadow="0" w:frame="0"/>
          <w:left w:val="single" w:color="c44b1a" w:sz="8" w:space="0" w:shadow="0" w:frame="0"/>
          <w:bottom w:val="nil"/>
          <w:right w:val="single" w:color="c44b1a" w:sz="8" w:space="0" w:shadow="0" w:frame="0"/>
        </w:pBdr>
        <w:shd w:val="clear" w:color="auto" w:fill="fff0ee"/>
        <w:spacing w:before="200"/>
        <w:ind w:left="180" w:right="180" w:firstLine="0"/>
      </w:pPr>
    </w:p>
    <w:p>
      <w:pPr>
        <w:pStyle w:val="Body"/>
        <w:pBdr>
          <w:top w:val="nil"/>
          <w:left w:val="single" w:color="c44b1a" w:sz="18" w:space="6" w:shadow="0" w:frame="0"/>
          <w:bottom w:val="nil"/>
          <w:right w:val="single" w:color="c44b1a" w:sz="18" w:space="6" w:shadow="0" w:frame="0"/>
        </w:pBdr>
        <w:shd w:val="clear" w:color="auto" w:fill="fff0ee"/>
        <w:ind w:left="180" w:right="180" w:firstLine="0"/>
      </w:pPr>
      <w:r>
        <w:rPr>
          <w:i w:val="1"/>
          <w:iCs w:val="1"/>
          <w:outline w:val="0"/>
          <w:color w:val="1c1a16"/>
          <w:sz w:val="21"/>
          <w:szCs w:val="21"/>
          <w:u w:color="1c1a16"/>
          <w:rtl w:val="0"/>
          <w:lang w:val="en-US"/>
          <w14:textFill>
            <w14:solidFill>
              <w14:srgbClr w14:val="1C1A16"/>
            </w14:solidFill>
          </w14:textFill>
        </w:rPr>
        <w:t>Project No. DOI-BLM-ORWA-0000-2026-0001-RMP-EIS</w:t>
      </w:r>
    </w:p>
    <w:p>
      <w:pPr>
        <w:pStyle w:val="Body"/>
        <w:pBdr>
          <w:top w:val="nil"/>
          <w:left w:val="single" w:color="c44b1a" w:sz="18" w:space="6" w:shadow="0" w:frame="0"/>
          <w:bottom w:val="nil"/>
          <w:right w:val="single" w:color="c44b1a" w:sz="18" w:space="6" w:shadow="0" w:frame="0"/>
        </w:pBdr>
        <w:shd w:val="clear" w:color="auto" w:fill="fff0ee"/>
        <w:ind w:left="180" w:right="180" w:firstLine="0"/>
      </w:pPr>
      <w:r>
        <w:rPr>
          <w:i w:val="1"/>
          <w:iCs w:val="1"/>
          <w:outline w:val="0"/>
          <w:color w:val="1c1a16"/>
          <w:sz w:val="21"/>
          <w:szCs w:val="21"/>
          <w:u w:color="1c1a16"/>
          <w:rtl w:val="0"/>
          <w:lang w:val="en-US"/>
          <w14:textFill>
            <w14:solidFill>
              <w14:srgbClr w14:val="1C1A16"/>
            </w14:solidFill>
          </w14:textFill>
        </w:rPr>
        <w:t>Submit via: https://eplanning.blm.gov  |  Email: BLM_OR_Revision_Scoping@blm.gov</w:t>
      </w:r>
    </w:p>
    <w:p>
      <w:pPr>
        <w:pStyle w:val="Body"/>
        <w:pBdr>
          <w:top w:val="nil"/>
          <w:left w:val="single" w:color="c44b1a" w:sz="8" w:space="0" w:shadow="0" w:frame="0"/>
          <w:bottom w:val="single" w:color="c44b1a" w:sz="8" w:space="0" w:shadow="0" w:frame="0"/>
          <w:right w:val="single" w:color="c44b1a" w:sz="8" w:space="0" w:shadow="0" w:frame="0"/>
        </w:pBdr>
        <w:shd w:val="clear" w:color="auto" w:fill="fff0ee"/>
        <w:spacing w:after="200"/>
        <w:ind w:left="180" w:right="180" w:firstLine="0"/>
      </w:pPr>
      <w:r>
        <w:rPr>
          <w:i w:val="1"/>
          <w:iCs w:val="1"/>
          <w:outline w:val="0"/>
          <w:color w:val="1c1a16"/>
          <w:sz w:val="21"/>
          <w:szCs w:val="21"/>
          <w:u w:color="1c1a16"/>
          <w:rtl w:val="0"/>
          <w:lang w:val="en-US"/>
          <w14:textFill>
            <w14:solidFill>
              <w14:srgbClr w14:val="1C1A16"/>
            </w14:solidFill>
          </w14:textFill>
        </w:rPr>
        <w:t>Mail (certified): BLM OR930, 1220 SW 3rd Ave, Portland, OR 97204</w:t>
      </w:r>
    </w:p>
    <w:p>
      <w:pPr>
        <w:pStyle w:val="Body"/>
        <w:widowControl w:val="0"/>
        <w:spacing w:before="22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00"/>
        <w:gridCol w:w="6960"/>
      </w:tblGrid>
      <w:tr>
        <w:tblPrEx>
          <w:shd w:val="clear" w:color="auto" w:fill="cad1d7"/>
        </w:tblPrEx>
        <w:trPr>
          <w:trHeight w:val="24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eef7f3"/>
            <w:tcMar>
              <w:top w:type="dxa" w:w="80"/>
              <w:left w:type="dxa" w:w="80"/>
              <w:bottom w:type="dxa" w:w="80"/>
              <w:right w:type="dxa" w:w="80"/>
            </w:tcMar>
            <w:vAlign w:val="top"/>
          </w:tcPr>
          <w:p>
            <w:pPr>
              <w:pStyle w:val="Body"/>
              <w:spacing w:before="40" w:after="40"/>
            </w:pPr>
            <w:r>
              <w:rPr>
                <w:b w:val="1"/>
                <w:bCs w:val="1"/>
                <w:outline w:val="0"/>
                <w:color w:val="1a3d2b"/>
                <w:sz w:val="21"/>
                <w:szCs w:val="21"/>
                <w:u w:color="1a3d2b"/>
                <w:shd w:val="nil" w:color="auto" w:fill="auto"/>
                <w:rtl w:val="0"/>
                <w:lang w:val="en-US"/>
                <w14:textFill>
                  <w14:solidFill>
                    <w14:srgbClr w14:val="1A3D2B"/>
                  </w14:solidFill>
                </w14:textFill>
              </w:rPr>
              <w:t>Submitted by:</w:t>
            </w:r>
          </w:p>
        </w:tc>
        <w:tc>
          <w:tcPr>
            <w:tcW w:type="dxa" w:w="6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top"/>
          </w:tcPr>
          <w:p>
            <w:pPr>
              <w:pStyle w:val="Body"/>
              <w:spacing w:before="40" w:after="40"/>
            </w:pPr>
            <w:r>
              <w:rPr>
                <w:outline w:val="0"/>
                <w:color w:val="1c1a16"/>
                <w:sz w:val="21"/>
                <w:szCs w:val="21"/>
                <w:u w:color="1c1a16"/>
                <w:shd w:val="nil" w:color="auto" w:fill="auto"/>
                <w:rtl w:val="0"/>
                <w:lang w:val="en-US"/>
                <w14:textFill>
                  <w14:solidFill>
                    <w14:srgbClr w14:val="1C1A16"/>
                  </w14:solidFill>
                </w14:textFill>
              </w:rPr>
              <w:t xml:space="preserve">Residents and Community Members </w:t>
            </w:r>
            <w:r>
              <w:rPr>
                <w:outline w:val="0"/>
                <w:color w:val="1c1a16"/>
                <w:sz w:val="21"/>
                <w:szCs w:val="21"/>
                <w:u w:color="1c1a16"/>
                <w:shd w:val="nil" w:color="auto" w:fill="auto"/>
                <w:rtl w:val="0"/>
                <w:lang w:val="en-US"/>
                <w14:textFill>
                  <w14:solidFill>
                    <w14:srgbClr w14:val="1C1A16"/>
                  </w14:solidFill>
                </w14:textFill>
              </w:rPr>
              <w:t xml:space="preserve">— </w:t>
            </w:r>
            <w:r>
              <w:rPr>
                <w:outline w:val="0"/>
                <w:color w:val="1c1a16"/>
                <w:sz w:val="21"/>
                <w:szCs w:val="21"/>
                <w:u w:color="1c1a16"/>
                <w:shd w:val="nil" w:color="auto" w:fill="auto"/>
                <w:rtl w:val="0"/>
                <w:lang w:val="en-US"/>
                <w14:textFill>
                  <w14:solidFill>
                    <w14:srgbClr w14:val="1C1A16"/>
                  </w14:solidFill>
                </w14:textFill>
              </w:rPr>
              <w:t xml:space="preserve">Western and Coastal Oregon </w:t>
            </w:r>
          </w:p>
        </w:tc>
      </w:tr>
      <w:tr>
        <w:tblPrEx>
          <w:shd w:val="clear" w:color="auto" w:fill="cad1d7"/>
        </w:tblPrEx>
        <w:trPr>
          <w:trHeight w:val="24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eef7f3"/>
            <w:tcMar>
              <w:top w:type="dxa" w:w="80"/>
              <w:left w:type="dxa" w:w="80"/>
              <w:bottom w:type="dxa" w:w="80"/>
              <w:right w:type="dxa" w:w="80"/>
            </w:tcMar>
            <w:vAlign w:val="top"/>
          </w:tcPr>
          <w:p>
            <w:pPr>
              <w:pStyle w:val="Body"/>
              <w:spacing w:before="40" w:after="40"/>
            </w:pPr>
            <w:r>
              <w:rPr>
                <w:b w:val="1"/>
                <w:bCs w:val="1"/>
                <w:outline w:val="0"/>
                <w:color w:val="1a3d2b"/>
                <w:sz w:val="21"/>
                <w:szCs w:val="21"/>
                <w:u w:color="1a3d2b"/>
                <w:shd w:val="nil" w:color="auto" w:fill="auto"/>
                <w:rtl w:val="0"/>
                <w:lang w:val="en-US"/>
                <w14:textFill>
                  <w14:solidFill>
                    <w14:srgbClr w14:val="1A3D2B"/>
                  </w14:solidFill>
                </w14:textFill>
              </w:rPr>
              <w:t>Date Submitted:</w:t>
            </w:r>
          </w:p>
        </w:tc>
        <w:tc>
          <w:tcPr>
            <w:tcW w:type="dxa" w:w="6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top"/>
          </w:tcPr>
          <w:p>
            <w:pPr>
              <w:pStyle w:val="Body"/>
              <w:spacing w:before="40" w:after="40"/>
            </w:pPr>
            <w:r>
              <w:rPr>
                <w:outline w:val="0"/>
                <w:color w:val="1c1a16"/>
                <w:sz w:val="21"/>
                <w:szCs w:val="21"/>
                <w:u w:color="1c1a16"/>
                <w:shd w:val="nil" w:color="auto" w:fill="auto"/>
                <w:rtl w:val="0"/>
                <w:lang w:val="en-US"/>
                <w14:textFill>
                  <w14:solidFill>
                    <w14:srgbClr w14:val="1C1A16"/>
                  </w14:solidFill>
                </w14:textFill>
              </w:rPr>
              <w:t>March 2026</w:t>
            </w:r>
          </w:p>
        </w:tc>
      </w:tr>
      <w:tr>
        <w:tblPrEx>
          <w:shd w:val="clear" w:color="auto" w:fill="cad1d7"/>
        </w:tblPrEx>
        <w:trPr>
          <w:trHeight w:val="4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eef7f3"/>
            <w:tcMar>
              <w:top w:type="dxa" w:w="80"/>
              <w:left w:type="dxa" w:w="80"/>
              <w:bottom w:type="dxa" w:w="80"/>
              <w:right w:type="dxa" w:w="80"/>
            </w:tcMar>
            <w:vAlign w:val="top"/>
          </w:tcPr>
          <w:p>
            <w:pPr>
              <w:pStyle w:val="Body"/>
              <w:spacing w:before="40" w:after="40"/>
            </w:pPr>
            <w:r>
              <w:rPr>
                <w:b w:val="1"/>
                <w:bCs w:val="1"/>
                <w:outline w:val="0"/>
                <w:color w:val="1a3d2b"/>
                <w:sz w:val="21"/>
                <w:szCs w:val="21"/>
                <w:u w:color="1a3d2b"/>
                <w:shd w:val="nil" w:color="auto" w:fill="auto"/>
                <w:rtl w:val="0"/>
                <w:lang w:val="en-US"/>
                <w14:textFill>
                  <w14:solidFill>
                    <w14:srgbClr w14:val="1A3D2B"/>
                  </w14:solidFill>
                </w14:textFill>
              </w:rPr>
              <w:t>Comment Category:</w:t>
            </w:r>
          </w:p>
        </w:tc>
        <w:tc>
          <w:tcPr>
            <w:tcW w:type="dxa" w:w="6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top"/>
          </w:tcPr>
          <w:p>
            <w:pPr>
              <w:pStyle w:val="Body"/>
              <w:spacing w:before="40" w:after="40"/>
            </w:pPr>
            <w:r>
              <w:rPr>
                <w:outline w:val="0"/>
                <w:color w:val="1c1a16"/>
                <w:sz w:val="21"/>
                <w:szCs w:val="21"/>
                <w:u w:color="1c1a16"/>
                <w:shd w:val="nil" w:color="auto" w:fill="auto"/>
                <w:rtl w:val="0"/>
                <w:lang w:val="en-US"/>
                <w14:textFill>
                  <w14:solidFill>
                    <w14:srgbClr w14:val="1C1A16"/>
                  </w14:solidFill>
                </w14:textFill>
              </w:rPr>
              <w:t xml:space="preserve">Opposition to Proposed RMP Revision as Scoped </w:t>
            </w:r>
            <w:r>
              <w:rPr>
                <w:outline w:val="0"/>
                <w:color w:val="1c1a16"/>
                <w:sz w:val="21"/>
                <w:szCs w:val="21"/>
                <w:u w:color="1c1a16"/>
                <w:shd w:val="nil" w:color="auto" w:fill="auto"/>
                <w:rtl w:val="0"/>
                <w:lang w:val="en-US"/>
                <w14:textFill>
                  <w14:solidFill>
                    <w14:srgbClr w14:val="1C1A16"/>
                  </w14:solidFill>
                </w14:textFill>
              </w:rPr>
              <w:t xml:space="preserve">— </w:t>
            </w:r>
            <w:r>
              <w:rPr>
                <w:outline w:val="0"/>
                <w:color w:val="1c1a16"/>
                <w:sz w:val="21"/>
                <w:szCs w:val="21"/>
                <w:u w:color="1c1a16"/>
                <w:shd w:val="nil" w:color="auto" w:fill="auto"/>
                <w:rtl w:val="0"/>
                <w:lang w:val="en-US"/>
                <w14:textFill>
                  <w14:solidFill>
                    <w14:srgbClr w14:val="1C1A16"/>
                  </w14:solidFill>
                </w14:textFill>
              </w:rPr>
              <w:t>with Proposed Alternatives</w:t>
            </w:r>
          </w:p>
        </w:tc>
      </w:tr>
      <w:tr>
        <w:tblPrEx>
          <w:shd w:val="clear" w:color="auto" w:fill="cad1d7"/>
        </w:tblPrEx>
        <w:trPr>
          <w:trHeight w:val="4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eef7f3"/>
            <w:tcMar>
              <w:top w:type="dxa" w:w="80"/>
              <w:left w:type="dxa" w:w="80"/>
              <w:bottom w:type="dxa" w:w="80"/>
              <w:right w:type="dxa" w:w="80"/>
            </w:tcMar>
            <w:vAlign w:val="top"/>
          </w:tcPr>
          <w:p>
            <w:pPr>
              <w:pStyle w:val="Body"/>
              <w:spacing w:before="40" w:after="40"/>
            </w:pPr>
            <w:r>
              <w:rPr>
                <w:b w:val="1"/>
                <w:bCs w:val="1"/>
                <w:outline w:val="0"/>
                <w:color w:val="1a3d2b"/>
                <w:sz w:val="21"/>
                <w:szCs w:val="21"/>
                <w:u w:color="1a3d2b"/>
                <w:shd w:val="nil" w:color="auto" w:fill="auto"/>
                <w:rtl w:val="0"/>
                <w:lang w:val="en-US"/>
                <w14:textFill>
                  <w14:solidFill>
                    <w14:srgbClr w14:val="1A3D2B"/>
                  </w14:solidFill>
                </w14:textFill>
              </w:rPr>
              <w:t>Planning Area:</w:t>
            </w:r>
          </w:p>
        </w:tc>
        <w:tc>
          <w:tcPr>
            <w:tcW w:type="dxa" w:w="6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top"/>
          </w:tcPr>
          <w:p>
            <w:pPr>
              <w:pStyle w:val="Body"/>
              <w:spacing w:before="40" w:after="40"/>
            </w:pPr>
            <w:r>
              <w:rPr>
                <w:outline w:val="0"/>
                <w:color w:val="1c1a16"/>
                <w:sz w:val="21"/>
                <w:szCs w:val="21"/>
                <w:u w:color="1c1a16"/>
                <w:shd w:val="nil" w:color="auto" w:fill="auto"/>
                <w:rtl w:val="0"/>
                <w:lang w:val="en-US"/>
                <w14:textFill>
                  <w14:solidFill>
                    <w14:srgbClr w14:val="1C1A16"/>
                  </w14:solidFill>
                </w14:textFill>
              </w:rPr>
              <w:t xml:space="preserve">Northwestern &amp; Coastal Oregon RMP / Southwestern Oregon RMP </w:t>
            </w:r>
            <w:r>
              <w:rPr>
                <w:outline w:val="0"/>
                <w:color w:val="1c1a16"/>
                <w:sz w:val="21"/>
                <w:szCs w:val="21"/>
                <w:u w:color="1c1a16"/>
                <w:shd w:val="nil" w:color="auto" w:fill="auto"/>
                <w:rtl w:val="0"/>
                <w:lang w:val="en-US"/>
                <w14:textFill>
                  <w14:solidFill>
                    <w14:srgbClr w14:val="1C1A16"/>
                  </w14:solidFill>
                </w14:textFill>
              </w:rPr>
              <w:t xml:space="preserve">— </w:t>
            </w:r>
            <w:r>
              <w:rPr>
                <w:outline w:val="0"/>
                <w:color w:val="1c1a16"/>
                <w:sz w:val="21"/>
                <w:szCs w:val="21"/>
                <w:u w:color="1c1a16"/>
                <w:shd w:val="nil" w:color="auto" w:fill="auto"/>
                <w:rtl w:val="0"/>
                <w:lang w:val="en-US"/>
                <w14:textFill>
                  <w14:solidFill>
                    <w14:srgbClr w14:val="1C1A16"/>
                  </w14:solidFill>
                </w14:textFill>
              </w:rPr>
              <w:t>approximately 2,460,000 acres in 17 Oregon counties</w:t>
            </w:r>
          </w:p>
        </w:tc>
      </w:tr>
      <w:tr>
        <w:tblPrEx>
          <w:shd w:val="clear" w:color="auto" w:fill="cad1d7"/>
        </w:tblPrEx>
        <w:trPr>
          <w:trHeight w:val="4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eef7f3"/>
            <w:tcMar>
              <w:top w:type="dxa" w:w="80"/>
              <w:left w:type="dxa" w:w="80"/>
              <w:bottom w:type="dxa" w:w="80"/>
              <w:right w:type="dxa" w:w="80"/>
            </w:tcMar>
            <w:vAlign w:val="top"/>
          </w:tcPr>
          <w:p>
            <w:pPr>
              <w:pStyle w:val="Body"/>
              <w:spacing w:before="40" w:after="40"/>
            </w:pPr>
            <w:r>
              <w:rPr>
                <w:b w:val="1"/>
                <w:bCs w:val="1"/>
                <w:outline w:val="0"/>
                <w:color w:val="1a3d2b"/>
                <w:sz w:val="21"/>
                <w:szCs w:val="21"/>
                <w:u w:color="1a3d2b"/>
                <w:shd w:val="nil" w:color="auto" w:fill="auto"/>
                <w:rtl w:val="0"/>
                <w:lang w:val="en-US"/>
                <w14:textFill>
                  <w14:solidFill>
                    <w14:srgbClr w14:val="1A3D2B"/>
                  </w14:solidFill>
                </w14:textFill>
              </w:rPr>
              <w:t>Responsible Official:</w:t>
            </w:r>
          </w:p>
        </w:tc>
        <w:tc>
          <w:tcPr>
            <w:tcW w:type="dxa" w:w="6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top"/>
          </w:tcPr>
          <w:p>
            <w:pPr>
              <w:pStyle w:val="Body"/>
              <w:spacing w:before="40" w:after="40"/>
            </w:pPr>
            <w:r>
              <w:rPr>
                <w:outline w:val="0"/>
                <w:color w:val="1c1a16"/>
                <w:sz w:val="21"/>
                <w:szCs w:val="21"/>
                <w:u w:color="1c1a16"/>
                <w:shd w:val="nil" w:color="auto" w:fill="auto"/>
                <w:rtl w:val="0"/>
                <w:lang w:val="en-US"/>
                <w14:textFill>
                  <w14:solidFill>
                    <w14:srgbClr w14:val="1C1A16"/>
                  </w14:solidFill>
                </w14:textFill>
              </w:rPr>
              <w:t>Oregon and Washington State Director, Bureau of Land Management (BLM)</w:t>
            </w:r>
          </w:p>
        </w:tc>
      </w:tr>
    </w:tbl>
    <w:p>
      <w:pPr>
        <w:pStyle w:val="Body"/>
        <w:widowControl w:val="0"/>
        <w:spacing w:before="220"/>
      </w:pP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Table of Contents</w:t>
      </w:r>
    </w:p>
    <w:p>
      <w:pPr>
        <w:pStyle w:val="Body"/>
        <w:numPr>
          <w:ilvl w:val="0"/>
          <w:numId w:val="2"/>
        </w:numPr>
        <w:spacing w:before="55" w:after="55"/>
        <w:rPr>
          <w:lang w:val="en-US"/>
        </w:rPr>
      </w:pPr>
      <w:r>
        <w:rPr>
          <w:outline w:val="0"/>
          <w:color w:val="1c1a16"/>
          <w:u w:color="1c1a16"/>
          <w:rtl w:val="0"/>
          <w:lang w:val="en-US"/>
          <w14:textFill>
            <w14:solidFill>
              <w14:srgbClr w14:val="1C1A16"/>
            </w14:solidFill>
          </w14:textFill>
        </w:rPr>
        <w:t xml:space="preserve"> Introduction and Standing</w:t>
      </w:r>
    </w:p>
    <w:p>
      <w:pPr>
        <w:pStyle w:val="Body"/>
        <w:spacing w:before="55" w:after="55"/>
        <w:ind w:left="360" w:firstLine="0"/>
      </w:pPr>
    </w:p>
    <w:p>
      <w:pPr>
        <w:pStyle w:val="Body"/>
        <w:spacing w:before="55" w:after="55"/>
        <w:ind w:left="360" w:firstLine="0"/>
      </w:pPr>
      <w:r>
        <w:rPr>
          <w:outline w:val="0"/>
          <w:color w:val="1c1a16"/>
          <w:u w:color="1c1a16"/>
          <w:rtl w:val="0"/>
          <w:lang w:val="en-US"/>
          <w14:textFill>
            <w14:solidFill>
              <w14:srgbClr w14:val="1C1A16"/>
            </w14:solidFill>
          </w14:textFill>
        </w:rPr>
        <w:t>II.  Statement of Opposition</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III.  Argument 1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Purpose and Need Statement Is Legally Deficient</w:t>
      </w:r>
    </w:p>
    <w:p>
      <w:pPr>
        <w:pStyle w:val="Body"/>
        <w:spacing w:before="55" w:after="55"/>
        <w:ind w:left="360" w:firstLine="0"/>
      </w:pPr>
    </w:p>
    <w:p>
      <w:pPr>
        <w:pStyle w:val="Body"/>
        <w:spacing w:before="55" w:after="55"/>
        <w:ind w:left="360" w:firstLine="0"/>
      </w:pPr>
      <w:r>
        <w:rPr>
          <w:outline w:val="0"/>
          <w:color w:val="1c1a16"/>
          <w:u w:color="1c1a16"/>
          <w:rtl w:val="0"/>
          <w:lang w:val="fr-FR"/>
          <w14:textFill>
            <w14:solidFill>
              <w14:srgbClr w14:val="1C1A16"/>
            </w14:solidFill>
          </w14:textFill>
        </w:rPr>
        <w:t xml:space="preserve">IV.  Argument 2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ESA Obligations Cannot Be Overridden by the O&amp;C Act</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V.  Argument 3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Economic Justification Is Factually Unsupported</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VI.  Argument 4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Wildfire Justification Contradicts Peer-Reviewed Science</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VII.  Argument 5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Proposed Harvest Scale and Slash Burning Create New Hazards</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VIII.  Argument 6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Herbicide Use at Expanded Scale Poses Documented Community Risk</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IX.  Argument 7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ACEC Reevaluation Must Not Serve as Harvest-Expansion Mechanism</w:t>
      </w:r>
    </w:p>
    <w:p>
      <w:pPr>
        <w:pStyle w:val="Body"/>
        <w:spacing w:before="55" w:after="55"/>
        <w:ind w:left="360" w:firstLine="0"/>
      </w:pPr>
    </w:p>
    <w:p>
      <w:pPr>
        <w:pStyle w:val="Body"/>
        <w:spacing w:before="55" w:after="55"/>
        <w:ind w:left="360" w:firstLine="0"/>
      </w:pPr>
      <w:r>
        <w:rPr>
          <w:outline w:val="0"/>
          <w:color w:val="1c1a16"/>
          <w:u w:color="1c1a16"/>
          <w:rtl w:val="0"/>
          <w:lang w:val="de-DE"/>
          <w14:textFill>
            <w14:solidFill>
              <w14:srgbClr w14:val="1C1A16"/>
            </w14:solidFill>
          </w14:textFill>
        </w:rPr>
        <w:t xml:space="preserve">X.  Argument 8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Executive Orders Cannot Override Congressional Statutes</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XI.  Argument 9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Big Beautiful Bill Undermines the Revenue Justification</w:t>
      </w:r>
    </w:p>
    <w:p>
      <w:pPr>
        <w:pStyle w:val="Body"/>
        <w:spacing w:before="55" w:after="55"/>
        <w:ind w:left="360" w:firstLine="0"/>
      </w:pPr>
    </w:p>
    <w:p>
      <w:pPr>
        <w:pStyle w:val="Body"/>
        <w:spacing w:before="55" w:after="55"/>
        <w:ind w:left="360" w:firstLine="0"/>
      </w:pPr>
      <w:r>
        <w:rPr>
          <w:outline w:val="0"/>
          <w:color w:val="1c1a16"/>
          <w:u w:color="1c1a16"/>
          <w:rtl w:val="0"/>
          <w14:textFill>
            <w14:solidFill>
              <w14:srgbClr w14:val="1C1A16"/>
            </w14:solidFill>
          </w14:textFill>
        </w:rPr>
        <w:t xml:space="preserve">XII.  Argument 10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Mature and Old-Growth Ecological and Carbon Values Must Be Quantified</w:t>
      </w:r>
    </w:p>
    <w:p>
      <w:pPr>
        <w:pStyle w:val="Body"/>
        <w:spacing w:before="55" w:after="55"/>
        <w:ind w:left="360" w:firstLine="0"/>
      </w:pPr>
    </w:p>
    <w:p>
      <w:pPr>
        <w:pStyle w:val="Body"/>
        <w:spacing w:before="55" w:after="55"/>
        <w:ind w:left="360" w:firstLine="0"/>
      </w:pPr>
      <w:r>
        <w:rPr>
          <w:outline w:val="0"/>
          <w:color w:val="1c1a16"/>
          <w:u w:color="1c1a16"/>
          <w:rtl w:val="0"/>
          <w:lang w:val="en-US"/>
          <w14:textFill>
            <w14:solidFill>
              <w14:srgbClr w14:val="1C1A16"/>
            </w14:solidFill>
          </w14:textFill>
        </w:rPr>
        <w:t>XIII.  Proposed Alternatives</w:t>
      </w:r>
    </w:p>
    <w:p>
      <w:pPr>
        <w:pStyle w:val="Body"/>
        <w:spacing w:before="55" w:after="55"/>
        <w:ind w:left="360" w:firstLine="0"/>
      </w:pPr>
    </w:p>
    <w:p>
      <w:pPr>
        <w:pStyle w:val="Body"/>
        <w:spacing w:before="55" w:after="55"/>
        <w:ind w:left="360" w:firstLine="0"/>
      </w:pPr>
      <w:r>
        <w:rPr>
          <w:outline w:val="0"/>
          <w:color w:val="1c1a16"/>
          <w:u w:color="1c1a16"/>
          <w:rtl w:val="0"/>
          <w:lang w:val="en-US"/>
          <w14:textFill>
            <w14:solidFill>
              <w14:srgbClr w14:val="1C1A16"/>
            </w14:solidFill>
          </w14:textFill>
        </w:rPr>
        <w:t>XIV.  Requested Scoping Issues</w:t>
      </w:r>
    </w:p>
    <w:p>
      <w:pPr>
        <w:pStyle w:val="Body"/>
        <w:spacing w:before="55" w:after="55"/>
        <w:ind w:left="360" w:firstLine="0"/>
      </w:pPr>
    </w:p>
    <w:p>
      <w:pPr>
        <w:pStyle w:val="Body"/>
        <w:spacing w:before="55" w:after="55"/>
        <w:ind w:left="360" w:firstLine="0"/>
      </w:pPr>
      <w:r>
        <w:rPr>
          <w:outline w:val="0"/>
          <w:color w:val="1c1a16"/>
          <w:u w:color="1c1a16"/>
          <w:rtl w:val="0"/>
          <w:lang w:val="it-IT"/>
          <w14:textFill>
            <w14:solidFill>
              <w14:srgbClr w14:val="1C1A16"/>
            </w14:solidFill>
          </w14:textFill>
        </w:rPr>
        <w:t>XV.  Conclusion</w:t>
      </w:r>
    </w:p>
    <w:p>
      <w:pPr>
        <w:pStyle w:val="Body"/>
        <w:spacing w:before="55" w:after="55"/>
        <w:ind w:left="360" w:firstLine="0"/>
      </w:pPr>
    </w:p>
    <w:p>
      <w:pPr>
        <w:pStyle w:val="Body"/>
        <w:spacing w:before="55" w:after="55"/>
        <w:ind w:left="360" w:firstLine="0"/>
      </w:pPr>
      <w:r>
        <w:rPr>
          <w:outline w:val="0"/>
          <w:color w:val="1c1a16"/>
          <w:u w:color="1c1a16"/>
          <w:rtl w:val="0"/>
          <w:lang w:val="en-US"/>
          <w14:textFill>
            <w14:solidFill>
              <w14:srgbClr w14:val="1C1A16"/>
            </w14:solidFill>
          </w14:textFill>
        </w:rPr>
        <w:t>XVI.  References and Sources</w:t>
      </w:r>
    </w:p>
    <w:p>
      <w:pPr>
        <w:pStyle w:val="Body"/>
        <w:spacing w:before="55" w:after="55"/>
        <w:ind w:left="360" w:firstLine="0"/>
      </w:pPr>
    </w:p>
    <w:p>
      <w:pPr>
        <w:pStyle w:val="Body"/>
        <w:spacing w:before="55" w:after="55"/>
        <w:ind w:left="360" w:firstLine="0"/>
      </w:pPr>
      <w:r>
        <w:rPr>
          <w:outline w:val="0"/>
          <w:color w:val="1c1a16"/>
          <w:u w:color="1c1a16"/>
          <w:rtl w:val="0"/>
          <w:lang w:val="en-US"/>
          <w14:textFill>
            <w14:solidFill>
              <w14:srgbClr w14:val="1C1A16"/>
            </w14:solidFill>
          </w14:textFill>
        </w:rPr>
        <w:t>XVII.  Collective Community Endorsement and Signature Pages</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I.  Introduction and Standing</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These formal scoping comments are submitted on behalf of residents, property owners, recreational users, and small business operators of the Western and Coastal Oregon communities, in response to the Bureau of Land Management (BLM) Oregon/Washington State Office Notice of Intent to revise the Northwestern and Coastal Oregon Resource Management Plan (RMP) and the Southwestern Oregon Resource Management Plan (RMP).</w:t>
      </w:r>
    </w:p>
    <w:p>
      <w:pPr>
        <w:pStyle w:val="Body"/>
        <w:spacing w:before="80" w:after="80"/>
      </w:pP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Commenters include individuals who live adjacent to, work within, recreate upon, and</w:t>
      </w:r>
      <w:r>
        <w:rPr>
          <w:outline w:val="0"/>
          <w:color w:val="1c1a16"/>
          <w:u w:color="1c1a16"/>
          <w:rtl w:val="0"/>
          <w:lang w:val="en-US"/>
          <w14:textFill>
            <w14:solidFill>
              <w14:srgbClr w14:val="1C1A16"/>
            </w14:solidFill>
          </w14:textFill>
        </w:rPr>
        <w:t>/or</w:t>
      </w:r>
      <w:r>
        <w:rPr>
          <w:outline w:val="0"/>
          <w:color w:val="1c1a16"/>
          <w:u w:color="1c1a16"/>
          <w:rtl w:val="0"/>
          <w:lang w:val="en-US"/>
          <w14:textFill>
            <w14:solidFill>
              <w14:srgbClr w14:val="1C1A16"/>
            </w14:solidFill>
          </w14:textFill>
        </w:rPr>
        <w:t xml:space="preserve"> derive economic livelihood from Bureau of Land Management (BLM) </w:t>
      </w:r>
      <w:r>
        <w:rPr>
          <w:outline w:val="0"/>
          <w:color w:val="1c1a16"/>
          <w:u w:color="1c1a16"/>
          <w:rtl w:val="0"/>
          <w:lang w:val="en-US"/>
          <w14:textFill>
            <w14:solidFill>
              <w14:srgbClr w14:val="1C1A16"/>
            </w14:solidFill>
          </w14:textFill>
        </w:rPr>
        <w:t xml:space="preserve">forest lands </w:t>
      </w:r>
      <w:r>
        <w:rPr>
          <w:outline w:val="0"/>
          <w:color w:val="1c1a16"/>
          <w:u w:color="1c1a16"/>
          <w:rtl w:val="0"/>
          <w:lang w:val="en-US"/>
          <w14:textFill>
            <w14:solidFill>
              <w14:srgbClr w14:val="1C1A16"/>
            </w14:solidFill>
          </w14:textFill>
        </w:rPr>
        <w:t>in the planning area. We fish the Alsea and other rivers and their tributaries, hike, hunt, kayak, and explore on public lands, operate recreation-dependent businesses along the Oregon Coast, and depend on the ecological integrity of intact older  forests for clean water, wildlife habitat, scenic values, and climate stability. These interests constitute concrete, particularized injuries that would result from the proposed revision and establish our standing to comment and, if necessary, to participate in future administrative and judicial proceedings.</w:t>
      </w:r>
    </w:p>
    <w:p>
      <w:pPr>
        <w:pStyle w:val="Body"/>
        <w:spacing w:before="80" w:after="80"/>
      </w:pP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These comments are submitted in good faith with the expectation that the BLM will provide substantive written responses to each issue raised, as required by the National Environmental Policy Act (NEPA) and its implementing regulations at 40 C.F.R. (Code of Federal Regulations) Part 1503.</w:t>
      </w:r>
    </w:p>
    <w:p>
      <w:pPr>
        <w:pStyle w:val="Body"/>
        <w:spacing w:before="80" w:after="80"/>
        <w:rPr>
          <w:outline w:val="0"/>
          <w:color w:val="1c1a16"/>
          <w:u w:color="1c1a16"/>
          <w14:textFill>
            <w14:solidFill>
              <w14:srgbClr w14:val="1C1A16"/>
            </w14:solidFill>
          </w14:textFill>
        </w:rPr>
      </w:pPr>
    </w:p>
    <w:p>
      <w:pPr>
        <w:pStyle w:val="Body"/>
        <w:spacing w:before="80" w:after="80"/>
      </w:pPr>
    </w:p>
    <w:p>
      <w:pPr>
        <w:pStyle w:val="Body"/>
        <w:pBdr>
          <w:top w:val="single" w:color="40916c" w:sz="8" w:space="0" w:shadow="0" w:frame="0"/>
          <w:left w:val="single" w:color="40916c" w:sz="8" w:space="0" w:shadow="0" w:frame="0"/>
          <w:bottom w:val="nil"/>
          <w:right w:val="single" w:color="40916c" w:sz="8" w:space="0" w:shadow="0" w:frame="0"/>
        </w:pBdr>
        <w:shd w:val="clear" w:color="auto" w:fill="eef7f3"/>
        <w:spacing w:before="200"/>
        <w:ind w:left="180" w:right="180" w:firstLine="0"/>
      </w:pPr>
      <w:r>
        <w:rPr>
          <w:b w:val="1"/>
          <w:bCs w:val="1"/>
          <w:outline w:val="0"/>
          <w:color w:val="1a3d2b"/>
          <w:sz w:val="23"/>
          <w:szCs w:val="23"/>
          <w:u w:color="1a3d2b"/>
          <w:rtl w:val="0"/>
          <w:lang w:val="en-US"/>
          <w14:textFill>
            <w14:solidFill>
              <w14:srgbClr w14:val="1A3D2B"/>
            </w14:solidFill>
          </w14:textFill>
        </w:rPr>
        <w:t>How to Use This Document</w:t>
      </w:r>
    </w:p>
    <w:p>
      <w:pPr>
        <w:pStyle w:val="Body"/>
        <w:pBdr>
          <w:top w:val="nil"/>
          <w:left w:val="single" w:color="40916c" w:sz="8" w:space="0" w:shadow="0" w:frame="0"/>
          <w:bottom w:val="single" w:color="40916c" w:sz="8" w:space="0" w:shadow="0" w:frame="0"/>
          <w:right w:val="single" w:color="40916c" w:sz="8" w:space="0" w:shadow="0" w:frame="0"/>
        </w:pBdr>
        <w:shd w:val="clear" w:color="auto" w:fill="eef7f3"/>
        <w:spacing w:after="200"/>
        <w:ind w:left="180" w:right="180" w:firstLine="0"/>
      </w:pPr>
      <w:r>
        <w:rPr>
          <w:i w:val="1"/>
          <w:iCs w:val="1"/>
          <w:outline w:val="0"/>
          <w:color w:val="1c1a16"/>
          <w:sz w:val="21"/>
          <w:szCs w:val="21"/>
          <w:u w:color="1c1a16"/>
          <w:rtl w:val="0"/>
          <w:lang w:val="en-US"/>
          <w14:textFill>
            <w14:solidFill>
              <w14:srgbClr w14:val="1C1A16"/>
            </w14:solidFill>
          </w14:textFill>
        </w:rPr>
        <w:t>This comment is organized into numbered arguments, each addressing a specific legal, scientific, or factual deficiency in the proposed revision as scoped. Section XIII presents constructive alternative management approaches. Section XIV lists specific scoping issues we request be added to the EIS analytical framework. The collective endorsement and individual signature pages are at Section XVII. Commenters may cite individual sections independently in future proceedings.</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II.  Statement of Opposition</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We oppose the proposed Resource Management Plan (RMP) revision as scoped. The Notice of Intent describes a revision whose stated purpose and need is to increase sustained-yield timber harvest to align with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historically higher levels of production</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on Bureau of Land Management (BLM)-administered O&amp;C (Oregon and California Revested Railroad) lands. </w:t>
      </w:r>
    </w:p>
    <w:p>
      <w:pPr>
        <w:pStyle w:val="Body"/>
        <w:spacing w:before="80" w:after="80"/>
        <w:rPr>
          <w:outline w:val="0"/>
          <w:color w:val="1c1a16"/>
          <w:u w:color="1c1a16"/>
          <w14:textFill>
            <w14:solidFill>
              <w14:srgbClr w14:val="1C1A16"/>
            </w14:solidFill>
          </w14:textFill>
        </w:rPr>
      </w:pPr>
    </w:p>
    <w:p>
      <w:pPr>
        <w:pStyle w:val="Body"/>
        <w:spacing w:before="80" w:after="80"/>
      </w:pPr>
      <w:r>
        <w:rPr>
          <w:outline w:val="0"/>
          <w:color w:val="1c1a16"/>
          <w:u w:color="1c1a16"/>
          <w:rtl w:val="0"/>
          <w:lang w:val="en-US"/>
          <w14:textFill>
            <w14:solidFill>
              <w14:srgbClr w14:val="1C1A16"/>
            </w14:solidFill>
          </w14:textFill>
        </w:rPr>
        <w:t>We oppose this revision on the following grounds:</w:t>
      </w:r>
    </w:p>
    <w:p>
      <w:pPr>
        <w:pStyle w:val="List Paragraph"/>
        <w:numPr>
          <w:ilvl w:val="0"/>
          <w:numId w:val="4"/>
        </w:numPr>
        <w:spacing w:before="50" w:after="50"/>
        <w:rPr>
          <w:lang w:val="en-US"/>
        </w:rPr>
      </w:pPr>
      <w:r>
        <w:rPr>
          <w:outline w:val="0"/>
          <w:color w:val="1c1a16"/>
          <w:u w:color="1c1a16"/>
          <w:rtl w:val="0"/>
          <w:lang w:val="en-US"/>
          <w14:textFill>
            <w14:solidFill>
              <w14:srgbClr w14:val="1C1A16"/>
            </w14:solidFill>
          </w14:textFill>
        </w:rPr>
        <w:t>The purpose and need statement is pre-determined toward maximum timber extraction, and does not constitute the open-ended alternatives analysis required under the National Environmental Policy Act (NEPA).</w:t>
      </w:r>
    </w:p>
    <w:p>
      <w:pPr>
        <w:pStyle w:val="List Paragraph"/>
        <w:numPr>
          <w:ilvl w:val="0"/>
          <w:numId w:val="4"/>
        </w:numPr>
        <w:spacing w:before="50" w:after="50"/>
      </w:pPr>
    </w:p>
    <w:p>
      <w:pPr>
        <w:pStyle w:val="List Paragraph"/>
        <w:numPr>
          <w:ilvl w:val="0"/>
          <w:numId w:val="6"/>
        </w:numPr>
        <w:spacing w:before="50" w:after="50"/>
        <w:rPr>
          <w:lang w:val="en-US"/>
        </w:rPr>
      </w:pPr>
      <w:r>
        <w:rPr>
          <w:outline w:val="0"/>
          <w:color w:val="1c1a16"/>
          <w:u w:color="1c1a16"/>
          <w:rtl w:val="0"/>
          <w:lang w:val="en-US"/>
          <w14:textFill>
            <w14:solidFill>
              <w14:srgbClr w14:val="1C1A16"/>
            </w14:solidFill>
          </w14:textFill>
        </w:rPr>
        <w:t>The Endangered Species Act (ESA) listings including the Oregon Coast Coho Salmon, Marbled Murrelet, and the Northern Spotted Owl, impose binding legal constraints that the O&amp;C Act cannot override.</w:t>
      </w:r>
    </w:p>
    <w:p>
      <w:pPr>
        <w:pStyle w:val="List Paragraph"/>
        <w:numPr>
          <w:ilvl w:val="0"/>
          <w:numId w:val="6"/>
        </w:numPr>
        <w:spacing w:before="50" w:after="50"/>
      </w:pPr>
    </w:p>
    <w:p>
      <w:pPr>
        <w:pStyle w:val="List Paragraph"/>
        <w:numPr>
          <w:ilvl w:val="0"/>
          <w:numId w:val="8"/>
        </w:numPr>
        <w:spacing w:before="50" w:after="50"/>
        <w:rPr>
          <w:lang w:val="en-US"/>
        </w:rPr>
      </w:pPr>
      <w:r>
        <w:rPr>
          <w:outline w:val="0"/>
          <w:color w:val="1c1a16"/>
          <w:u w:color="1c1a16"/>
          <w:rtl w:val="0"/>
          <w:lang w:val="en-US"/>
          <w14:textFill>
            <w14:solidFill>
              <w14:srgbClr w14:val="1C1A16"/>
            </w14:solidFill>
          </w14:textFill>
        </w:rPr>
        <w:t>The economic justification</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that increased harvest will restore county revenues and local employment</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is factually unsupported by over 90 years of data and is legally undermined by the Big Beautiful Bill</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s redirection of federal timber revenues away from counties.</w:t>
      </w:r>
    </w:p>
    <w:p>
      <w:pPr>
        <w:pStyle w:val="List Paragraph"/>
        <w:numPr>
          <w:ilvl w:val="0"/>
          <w:numId w:val="8"/>
        </w:numPr>
        <w:spacing w:before="50" w:after="50"/>
      </w:pPr>
    </w:p>
    <w:p>
      <w:pPr>
        <w:pStyle w:val="List Paragraph"/>
        <w:numPr>
          <w:ilvl w:val="0"/>
          <w:numId w:val="10"/>
        </w:numPr>
        <w:spacing w:before="50" w:after="50"/>
        <w:rPr>
          <w:lang w:val="en-US"/>
        </w:rPr>
      </w:pPr>
      <w:r>
        <w:rPr>
          <w:outline w:val="0"/>
          <w:color w:val="1c1a16"/>
          <w:u w:color="1c1a16"/>
          <w:rtl w:val="0"/>
          <w:lang w:val="en-US"/>
          <w14:textFill>
            <w14:solidFill>
              <w14:srgbClr w14:val="1C1A16"/>
            </w14:solidFill>
          </w14:textFill>
        </w:rPr>
        <w:t>The wildfire justification</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that commercial logging of Mature and Old-Growth forests increases fire resistance</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directly contradicts the vast amounts of published agency and peer-reviewed scientific literature.</w:t>
      </w:r>
    </w:p>
    <w:p>
      <w:pPr>
        <w:pStyle w:val="List Paragraph"/>
        <w:numPr>
          <w:ilvl w:val="0"/>
          <w:numId w:val="10"/>
        </w:numPr>
        <w:spacing w:before="50" w:after="50"/>
      </w:pPr>
    </w:p>
    <w:p>
      <w:pPr>
        <w:pStyle w:val="List Paragraph"/>
        <w:numPr>
          <w:ilvl w:val="0"/>
          <w:numId w:val="12"/>
        </w:numPr>
        <w:spacing w:before="50" w:after="50"/>
        <w:rPr>
          <w:lang w:val="en-US"/>
        </w:rPr>
      </w:pPr>
      <w:r>
        <w:rPr>
          <w:outline w:val="0"/>
          <w:color w:val="1c1a16"/>
          <w:u w:color="1c1a16"/>
          <w:rtl w:val="0"/>
          <w:lang w:val="en-US"/>
          <w14:textFill>
            <w14:solidFill>
              <w14:srgbClr w14:val="1C1A16"/>
            </w14:solidFill>
          </w14:textFill>
        </w:rPr>
        <w:t>Executive Orders 14223 and 14225 cited as basis for the revision cannot override Congressional statutes including the ESA, CWA, and FLPMA.</w:t>
      </w:r>
    </w:p>
    <w:p>
      <w:pPr>
        <w:pStyle w:val="List Paragraph"/>
        <w:numPr>
          <w:ilvl w:val="0"/>
          <w:numId w:val="12"/>
        </w:numPr>
        <w:spacing w:before="50" w:after="50"/>
      </w:pPr>
    </w:p>
    <w:p>
      <w:pPr>
        <w:pStyle w:val="List Paragraph"/>
        <w:numPr>
          <w:ilvl w:val="0"/>
          <w:numId w:val="14"/>
        </w:numPr>
        <w:spacing w:before="50" w:after="50"/>
        <w:rPr>
          <w:lang w:val="en-US"/>
        </w:rPr>
      </w:pPr>
      <w:r>
        <w:rPr>
          <w:outline w:val="0"/>
          <w:color w:val="1c1a16"/>
          <w:u w:color="1c1a16"/>
          <w:rtl w:val="0"/>
          <w:lang w:val="en-US"/>
          <w14:textFill>
            <w14:solidFill>
              <w14:srgbClr w14:val="1C1A16"/>
            </w14:solidFill>
          </w14:textFill>
        </w:rPr>
        <w:t>Reevaluation of over 100 existing Areas of Critical Environmental Concern (ACECs) appears designed to reduce protections and expand the timber base, in violation of FLPMA</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s ACEC priority mandate.</w:t>
      </w:r>
    </w:p>
    <w:p>
      <w:pPr>
        <w:pStyle w:val="List Paragraph"/>
        <w:numPr>
          <w:ilvl w:val="0"/>
          <w:numId w:val="14"/>
        </w:numPr>
        <w:spacing w:before="50" w:after="50"/>
      </w:pPr>
    </w:p>
    <w:p>
      <w:pPr>
        <w:pStyle w:val="List Paragraph"/>
        <w:numPr>
          <w:ilvl w:val="0"/>
          <w:numId w:val="16"/>
        </w:numPr>
        <w:spacing w:before="50" w:after="50"/>
        <w:rPr>
          <w:lang w:val="en-US"/>
        </w:rPr>
      </w:pPr>
      <w:r>
        <w:rPr>
          <w:outline w:val="0"/>
          <w:color w:val="1c1a16"/>
          <w:u w:color="1c1a16"/>
          <w:rtl w:val="0"/>
          <w:lang w:val="en-US"/>
          <w14:textFill>
            <w14:solidFill>
              <w14:srgbClr w14:val="1C1A16"/>
            </w14:solidFill>
          </w14:textFill>
        </w:rPr>
        <w:t xml:space="preserve">The proposed approach to harvest scale, dramatically decreased </w:t>
      </w:r>
      <w:r>
        <w:rPr>
          <w:outline w:val="0"/>
          <w:color w:val="1c1a16"/>
          <w:u w:color="1c1a16"/>
          <w:rtl w:val="0"/>
          <w:lang w:val="en-US"/>
          <w14:textFill>
            <w14:solidFill>
              <w14:srgbClr w14:val="1C1A16"/>
            </w14:solidFill>
          </w14:textFill>
        </w:rPr>
        <w:t>stream-side</w:t>
      </w:r>
      <w:r>
        <w:rPr>
          <w:outline w:val="0"/>
          <w:color w:val="1c1a16"/>
          <w:u w:color="1c1a16"/>
          <w:rtl w:val="0"/>
          <w:lang w:val="en-US"/>
          <w14:textFill>
            <w14:solidFill>
              <w14:srgbClr w14:val="1C1A16"/>
            </w14:solidFill>
          </w14:textFill>
        </w:rPr>
        <w:t xml:space="preserve"> buffers, and practices of slash burning and intensive herbicide use, creates documented risks to </w:t>
      </w:r>
      <w:r>
        <w:rPr>
          <w:outline w:val="0"/>
          <w:color w:val="1c1a16"/>
          <w:u w:color="1c1a16"/>
          <w:rtl w:val="0"/>
          <w:lang w:val="en-US"/>
          <w14:textFill>
            <w14:solidFill>
              <w14:srgbClr w14:val="1C1A16"/>
            </w14:solidFill>
          </w14:textFill>
        </w:rPr>
        <w:t xml:space="preserve">soil quality, </w:t>
      </w:r>
      <w:r>
        <w:rPr>
          <w:outline w:val="0"/>
          <w:color w:val="1c1a16"/>
          <w:u w:color="1c1a16"/>
          <w:rtl w:val="0"/>
          <w:lang w:val="en-US"/>
          <w14:textFill>
            <w14:solidFill>
              <w14:srgbClr w14:val="1C1A16"/>
            </w14:solidFill>
          </w14:textFill>
        </w:rPr>
        <w:t xml:space="preserve">water </w:t>
      </w:r>
      <w:r>
        <w:rPr>
          <w:outline w:val="0"/>
          <w:color w:val="1c1a16"/>
          <w:u w:color="1c1a16"/>
          <w:rtl w:val="0"/>
          <w:lang w:val="en-US"/>
          <w14:textFill>
            <w14:solidFill>
              <w14:srgbClr w14:val="1C1A16"/>
            </w14:solidFill>
          </w14:textFill>
        </w:rPr>
        <w:t xml:space="preserve">abundance and </w:t>
      </w:r>
      <w:r>
        <w:rPr>
          <w:outline w:val="0"/>
          <w:color w:val="1c1a16"/>
          <w:u w:color="1c1a16"/>
          <w:rtl w:val="0"/>
          <w:lang w:val="en-US"/>
          <w14:textFill>
            <w14:solidFill>
              <w14:srgbClr w14:val="1C1A16"/>
            </w14:solidFill>
          </w14:textFill>
        </w:rPr>
        <w:t>quality, endangered or threatened salmon and fish populations,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air quality, community health, and the entirety </w:t>
      </w:r>
      <w:r>
        <w:rPr>
          <w:outline w:val="0"/>
          <w:color w:val="1c1a16"/>
          <w:u w:color="1c1a16"/>
          <w:rtl w:val="0"/>
          <w:lang w:val="en-US"/>
          <w14:textFill>
            <w14:solidFill>
              <w14:srgbClr w14:val="1C1A16"/>
            </w14:solidFill>
          </w14:textFill>
        </w:rPr>
        <w:t>of critical</w:t>
      </w:r>
      <w:r>
        <w:rPr>
          <w:outline w:val="0"/>
          <w:color w:val="1c1a16"/>
          <w:u w:color="1c1a16"/>
          <w:rtl w:val="0"/>
          <w:lang w:val="en-US"/>
          <w14:textFill>
            <w14:solidFill>
              <w14:srgbClr w14:val="1C1A16"/>
            </w14:solidFill>
          </w14:textFill>
        </w:rPr>
        <w:t xml:space="preserve"> benefits supplied by the  watershed.</w:t>
      </w:r>
    </w:p>
    <w:p>
      <w:pPr>
        <w:pStyle w:val="List Paragraph"/>
        <w:numPr>
          <w:ilvl w:val="0"/>
          <w:numId w:val="16"/>
        </w:numPr>
        <w:spacing w:before="50" w:after="50"/>
      </w:pPr>
    </w:p>
    <w:p>
      <w:pPr>
        <w:pStyle w:val="List Paragraph"/>
        <w:numPr>
          <w:ilvl w:val="0"/>
          <w:numId w:val="18"/>
        </w:numPr>
        <w:spacing w:before="50" w:after="50"/>
        <w:rPr>
          <w:lang w:val="en-US"/>
        </w:rPr>
      </w:pPr>
      <w:r>
        <w:rPr>
          <w:outline w:val="0"/>
          <w:color w:val="1c1a16"/>
          <w:u w:color="1c1a16"/>
          <w:rtl w:val="0"/>
          <w:lang w:val="en-US"/>
          <w14:textFill>
            <w14:solidFill>
              <w14:srgbClr w14:val="1C1A16"/>
            </w14:solidFill>
          </w14:textFill>
        </w:rPr>
        <w:t xml:space="preserve">The scope of ecological and carbon storage values </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of </w:t>
      </w:r>
      <w:r>
        <w:rPr>
          <w:outline w:val="0"/>
          <w:color w:val="1c1a16"/>
          <w:u w:color="1c1a16"/>
          <w:rtl w:val="0"/>
          <w:lang w:val="en-US"/>
          <w14:textFill>
            <w14:solidFill>
              <w14:srgbClr w14:val="1C1A16"/>
            </w14:solidFill>
          </w14:textFill>
        </w:rPr>
        <w:t xml:space="preserve">varying forest types) of </w:t>
      </w:r>
      <w:r>
        <w:rPr>
          <w:outline w:val="0"/>
          <w:color w:val="1c1a16"/>
          <w:u w:color="1c1a16"/>
          <w:rtl w:val="0"/>
          <w:lang w:val="en-US"/>
          <w14:textFill>
            <w14:solidFill>
              <w14:srgbClr w14:val="1C1A16"/>
            </w14:solidFill>
          </w14:textFill>
        </w:rPr>
        <w:t>Mature and Old-Growth forests in the planning area are n</w:t>
      </w:r>
      <w:r>
        <w:rPr>
          <w:outline w:val="0"/>
          <w:color w:val="1c1a16"/>
          <w:u w:color="1c1a16"/>
          <w:rtl w:val="0"/>
          <w:lang w:val="en-US"/>
          <w14:textFill>
            <w14:solidFill>
              <w14:srgbClr w14:val="1C1A16"/>
            </w14:solidFill>
          </w14:textFill>
        </w:rPr>
        <w:t>ot</w:t>
      </w:r>
      <w:r>
        <w:rPr>
          <w:outline w:val="0"/>
          <w:color w:val="1c1a16"/>
          <w:u w:color="1c1a16"/>
          <w:rtl w:val="0"/>
          <w:lang w:val="en-US"/>
          <w14:textFill>
            <w14:solidFill>
              <w14:srgbClr w14:val="1C1A16"/>
            </w14:solidFill>
          </w14:textFill>
        </w:rPr>
        <w:t xml:space="preserve"> counted in the BLM</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s </w:t>
      </w:r>
      <w:r>
        <w:rPr>
          <w:outline w:val="0"/>
          <w:color w:val="1c1a16"/>
          <w:u w:color="1c1a16"/>
          <w:rtl w:val="0"/>
          <w:lang w:val="en-US"/>
          <w14:textFill>
            <w14:solidFill>
              <w14:srgbClr w14:val="1C1A16"/>
            </w14:solidFill>
          </w14:textFill>
        </w:rPr>
        <w:t>economic</w:t>
      </w:r>
      <w:r>
        <w:rPr>
          <w:outline w:val="0"/>
          <w:color w:val="1c1a16"/>
          <w:u w:color="1c1a16"/>
          <w:rtl w:val="0"/>
          <w:lang w:val="en-US"/>
          <w14:textFill>
            <w14:solidFill>
              <w14:srgbClr w14:val="1C1A16"/>
            </w14:solidFill>
          </w14:textFill>
        </w:rPr>
        <w:t xml:space="preserve"> analysi</w:t>
      </w:r>
      <w:r>
        <w:rPr>
          <w:outline w:val="0"/>
          <w:color w:val="1c1a16"/>
          <w:u w:color="1c1a16"/>
          <w:rtl w:val="0"/>
          <w:lang w:val="en-US"/>
          <w14:textFill>
            <w14:solidFill>
              <w14:srgbClr w14:val="1C1A16"/>
            </w14:solidFill>
          </w14:textFill>
        </w:rPr>
        <w:t xml:space="preserve">s </w:t>
      </w:r>
      <w:r>
        <w:rPr>
          <w:outline w:val="0"/>
          <w:color w:val="1c1a16"/>
          <w:u w:color="1c1a16"/>
          <w:rtl w:val="0"/>
          <w:lang w:val="en-US"/>
          <w14:textFill>
            <w14:solidFill>
              <w14:srgbClr w14:val="1C1A16"/>
            </w14:solidFill>
          </w14:textFill>
        </w:rPr>
        <w:t xml:space="preserve">and must be fully quantified in the </w:t>
      </w:r>
      <w:r>
        <w:rPr>
          <w:outline w:val="0"/>
          <w:color w:val="1c1a16"/>
          <w:u w:color="1c1a16"/>
          <w:rtl w:val="0"/>
          <w:lang w:val="en-US"/>
          <w14:textFill>
            <w14:solidFill>
              <w14:srgbClr w14:val="1C1A16"/>
            </w14:solidFill>
          </w14:textFill>
        </w:rPr>
        <w:t xml:space="preserve">draft </w:t>
      </w:r>
      <w:r>
        <w:rPr>
          <w:outline w:val="0"/>
          <w:color w:val="1c1a16"/>
          <w:u w:color="1c1a16"/>
          <w:rtl w:val="0"/>
          <w:lang w:val="en-US"/>
          <w14:textFill>
            <w14:solidFill>
              <w14:srgbClr w14:val="1C1A16"/>
            </w14:solidFill>
          </w14:textFill>
        </w:rPr>
        <w:t>EIS.</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III.  Argument 1 </w:t>
      </w:r>
      <w:r>
        <w:rPr>
          <w:rtl w:val="0"/>
          <w:lang w:val="en-US"/>
        </w:rPr>
        <w:t xml:space="preserve">— </w:t>
      </w:r>
      <w:r>
        <w:rPr>
          <w:rtl w:val="0"/>
          <w:lang w:val="en-US"/>
        </w:rPr>
        <w:t>The Purpose and Need Statement Is Legally Deficient</w:t>
      </w:r>
    </w:p>
    <w:p>
      <w:pPr>
        <w:pStyle w:val="Heading 2"/>
      </w:pPr>
      <w:r>
        <w:rPr>
          <w:rtl w:val="0"/>
          <w:lang w:val="en-US"/>
        </w:rPr>
        <w:t>A.  Pre-Determined Outcome Violates NEPA</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The Notice of Intent states the purpose of the RMP revision is to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seek an increase in sustained yield of timber harvest that aligns with the historically higher levels of production.</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This framing does not describe an open-ended planning process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it describes a predetermined outcome. The Council on Environmental Quality (CEQ) regulations implementing NEPA (National Environmental Policy Act) at 40 C.F.R. </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1502.13 require that the purpose and need statement reflect the agency</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 xml:space="preserve">s genuine need, not a pre-selected solution. </w:t>
      </w:r>
    </w:p>
    <w:p>
      <w:pPr>
        <w:pStyle w:val="Body"/>
        <w:spacing w:before="80" w:after="80"/>
      </w:pPr>
      <w:r>
        <w:rPr>
          <w:outline w:val="0"/>
          <w:color w:val="1c1a16"/>
          <w:u w:color="1c1a16"/>
          <w:rtl w:val="0"/>
          <w:lang w:val="en-US"/>
          <w14:textFill>
            <w14:solidFill>
              <w14:srgbClr w14:val="1C1A16"/>
            </w14:solidFill>
          </w14:textFill>
        </w:rPr>
        <w:t>By defining purpose as returning to a specific historic timber volume metric, the BLM has structured the EIS (Environmental Impact Statement) to reach a predetermined conclusion. Courts have consistently found such goal-oriented NEPA analyses legally deficient.</w:t>
      </w:r>
    </w:p>
    <w:p>
      <w:pPr>
        <w:pStyle w:val="Heading 2"/>
      </w:pPr>
      <w:r>
        <w:rPr>
          <w:rtl w:val="0"/>
          <w:lang w:val="en-US"/>
        </w:rPr>
        <w:t>B.  The Purpose and Need Must Account for Changed Circumstances</w:t>
      </w:r>
    </w:p>
    <w:p>
      <w:pPr>
        <w:pStyle w:val="Body"/>
        <w:spacing w:before="80" w:after="80"/>
      </w:pPr>
      <w:r>
        <w:rPr>
          <w:outline w:val="0"/>
          <w:color w:val="1c1a16"/>
          <w:u w:color="1c1a16"/>
          <w:rtl w:val="0"/>
          <w:lang w:val="en-US"/>
          <w14:textFill>
            <w14:solidFill>
              <w14:srgbClr w14:val="1C1A16"/>
            </w14:solidFill>
          </w14:textFill>
        </w:rPr>
        <w:t>The BLM</w:t>
      </w:r>
      <w:r>
        <w:rPr>
          <w:outline w:val="0"/>
          <w:color w:val="1c1a16"/>
          <w:u w:color="1c1a16"/>
          <w:rtl w:val="1"/>
          <w14:textFill>
            <w14:solidFill>
              <w14:srgbClr w14:val="1C1A16"/>
            </w14:solidFill>
          </w14:textFill>
        </w:rPr>
        <w:t>’</w:t>
      </w:r>
      <w:r>
        <w:rPr>
          <w:outline w:val="0"/>
          <w:color w:val="1c1a16"/>
          <w:u w:color="1c1a16"/>
          <w:rtl w:val="0"/>
          <w:lang w:val="fr-FR"/>
          <w14:textFill>
            <w14:solidFill>
              <w14:srgbClr w14:val="1C1A16"/>
            </w14:solidFill>
          </w14:textFill>
        </w:rPr>
        <w:t>s comparison point</w:t>
      </w:r>
      <w:r>
        <w:rPr>
          <w:outline w:val="0"/>
          <w:color w:val="1c1a16"/>
          <w:u w:color="1c1a16"/>
          <w:rtl w:val="0"/>
          <w:lang w:val="en-US"/>
          <w14:textFill>
            <w14:solidFill>
              <w14:srgbClr w14:val="1C1A16"/>
            </w14:solidFill>
          </w14:textFill>
        </w:rPr>
        <w:t>–</w:t>
      </w:r>
      <w:r>
        <w:rPr>
          <w:outline w:val="0"/>
          <w:color w:val="1c1a16"/>
          <w:u w:color="1c1a16"/>
          <w:rtl w:val="1"/>
          <w:lang w:val="ar-SA" w:bidi="ar-SA"/>
          <w14:textFill>
            <w14:solidFill>
              <w14:srgbClr w14:val="1C1A16"/>
            </w14:solidFill>
          </w14:textFill>
        </w:rPr>
        <w:t xml:space="preserve"> “</w:t>
      </w:r>
      <w:r>
        <w:rPr>
          <w:outline w:val="0"/>
          <w:color w:val="1c1a16"/>
          <w:u w:color="1c1a16"/>
          <w:rtl w:val="0"/>
          <w:lang w:val="en-US"/>
          <w14:textFill>
            <w14:solidFill>
              <w14:srgbClr w14:val="1C1A16"/>
            </w14:solidFill>
          </w14:textFill>
        </w:rPr>
        <w:t>historically higher levels</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from the 1960s and 1970s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ignores fundamental changed circumstances that make a return to those conditions legally impossible. Those harvest levels preceded the ESA listings of the Northern Spotted Owl (1990) and Marbled Murrelet (1992); preceded the Clean Water Act</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current standards; were achieved through large-scale liquidation of Mature and Old-Growth forests that cannot be recreated without repeating the same liquidation; and were subsequently determined by Congress and courts to be legally non-compliant with subsequently enacted statutes. Using 1960s volumes as a 2026 benchmark does not constitute the reasoned decision-making required under the APA (Administrative Procedure Act) standard of FCC v. Fox Television Stations (2009).</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fr-FR"/>
        </w:rPr>
        <w:t xml:space="preserve">IV.  Argument 2 </w:t>
      </w:r>
      <w:r>
        <w:rPr>
          <w:rtl w:val="0"/>
          <w:lang w:val="en-US"/>
        </w:rPr>
        <w:t xml:space="preserve">— </w:t>
      </w:r>
      <w:r>
        <w:rPr>
          <w:rtl w:val="0"/>
          <w:lang w:val="en-US"/>
        </w:rPr>
        <w:t>ESA Obligations Cannot Be Overridden by the O&amp;C Act</w:t>
      </w:r>
    </w:p>
    <w:p>
      <w:pPr>
        <w:pStyle w:val="Heading 2"/>
      </w:pPr>
      <w:r>
        <w:rPr>
          <w:rtl w:val="0"/>
          <w:lang w:val="en-US"/>
        </w:rPr>
        <w:t>A.  The Legal Framework</w:t>
      </w:r>
    </w:p>
    <w:p>
      <w:pPr>
        <w:pStyle w:val="Body"/>
        <w:spacing w:before="80" w:after="80"/>
      </w:pPr>
      <w:r>
        <w:rPr>
          <w:outline w:val="0"/>
          <w:color w:val="1c1a16"/>
          <w:u w:color="1c1a16"/>
          <w:rtl w:val="0"/>
          <w:lang w:val="en-US"/>
          <w14:textFill>
            <w14:solidFill>
              <w14:srgbClr w14:val="1C1A16"/>
            </w14:solidFill>
          </w14:textFill>
        </w:rPr>
        <w:t xml:space="preserve">The Endangered Species Act (ESA) (16 U.S.C. </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1536) Section 7 requires all federal agencies to consult with the U.S. Fish and Wildlife Service (USFWS) and/or the National Marine Fisheries Service (NMFS) to ensure that agency actions are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not likely to jeopardize the continued existence</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of any listed species or destroy or adversely modify designated Critical Habitat. This obligation applies to the BLM regardless of the O&amp;C Act</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timber mandate. No court has held that the O&amp;C Act overrides the ESA. Courts have consistently upheld ESA constraints on O&amp;C timber harvest.</w:t>
      </w:r>
    </w:p>
    <w:p>
      <w:pPr>
        <w:pStyle w:val="Heading 2"/>
      </w:pPr>
      <w:r>
        <w:rPr>
          <w:rtl w:val="0"/>
        </w:rPr>
        <w:t xml:space="preserve">B.  </w:t>
      </w:r>
      <w:r>
        <w:rPr>
          <w:rtl w:val="0"/>
          <w:lang w:val="en-US"/>
        </w:rPr>
        <w:t xml:space="preserve">The Most Mentioned and Notable of the </w:t>
      </w:r>
      <w:r>
        <w:rPr>
          <w:rtl w:val="0"/>
          <w:lang w:val="en-US"/>
        </w:rPr>
        <w:t>Listed Species Present in the</w:t>
      </w:r>
      <w:r>
        <w:rPr>
          <w:rtl w:val="0"/>
          <w:lang w:val="en-US"/>
        </w:rPr>
        <w:t xml:space="preserve"> </w:t>
      </w:r>
      <w:r>
        <w:rPr>
          <w:rtl w:val="0"/>
          <w:lang w:val="en-US"/>
        </w:rPr>
        <w:t>Planning Area</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00"/>
        <w:gridCol w:w="2000"/>
        <w:gridCol w:w="4960"/>
      </w:tblGrid>
      <w:tr>
        <w:tblPrEx>
          <w:shd w:val="clear" w:color="auto" w:fill="156082"/>
        </w:tblPrEx>
        <w:trPr>
          <w:trHeight w:val="223" w:hRule="atLeast"/>
          <w:tblHeader/>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Species</w:t>
            </w:r>
          </w:p>
        </w:tc>
        <w:tc>
          <w:tcPr>
            <w:tcW w:type="dxa" w:w="20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Status / Listing</w:t>
            </w:r>
          </w:p>
        </w:tc>
        <w:tc>
          <w:tcPr>
            <w:tcW w:type="dxa" w:w="4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Habitat / Constraint in Planning Area</w:t>
            </w:r>
          </w:p>
        </w:tc>
      </w:tr>
      <w:tr>
        <w:tblPrEx>
          <w:shd w:val="clear" w:color="auto" w:fill="cad1d7"/>
        </w:tblPrEx>
        <w:trPr>
          <w:trHeight w:val="8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Northern Spotted Owl</w:t>
            </w:r>
          </w:p>
        </w:tc>
        <w:tc>
          <w:tcPr>
            <w:tcW w:type="dxa" w:w="20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Threatened (ESA, 1990)</w:t>
            </w:r>
          </w:p>
        </w:tc>
        <w:tc>
          <w:tcPr>
            <w:tcW w:type="dxa" w:w="4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Mature and Old-Growth and mature forest dependent. Critical Habitat designated throughout planning area. Prior Biological Opinions found harvest at historic levels likely to cause jeopardy.</w:t>
            </w:r>
          </w:p>
        </w:tc>
      </w:tr>
      <w:tr>
        <w:tblPrEx>
          <w:shd w:val="clear" w:color="auto" w:fill="cad1d7"/>
        </w:tblPrEx>
        <w:trPr>
          <w:trHeight w:val="66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Marbled Murrelet</w:t>
            </w:r>
          </w:p>
        </w:tc>
        <w:tc>
          <w:tcPr>
            <w:tcW w:type="dxa" w:w="20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Threatened (ESA, 1992)</w:t>
            </w:r>
          </w:p>
        </w:tc>
        <w:tc>
          <w:tcPr>
            <w:tcW w:type="dxa" w:w="4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Nests exclusively in Mature and Old-Growth within 50 miles of coast. Planning area is core nesting habitat. Harvest of nesting trees constitutes ESA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9 take.</w:t>
            </w:r>
          </w:p>
        </w:tc>
      </w:tr>
      <w:tr>
        <w:tblPrEx>
          <w:shd w:val="clear" w:color="auto" w:fill="cad1d7"/>
        </w:tblPrEx>
        <w:trPr>
          <w:trHeight w:val="8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Oregon Coast Coho Salmon</w:t>
            </w:r>
          </w:p>
        </w:tc>
        <w:tc>
          <w:tcPr>
            <w:tcW w:type="dxa" w:w="20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Threatened (NMFS)</w:t>
            </w:r>
          </w:p>
        </w:tc>
        <w:tc>
          <w:tcPr>
            <w:tcW w:type="dxa" w:w="4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Anadromous. Requires cold, clear streams with large wood and riparian canopy. Alsea River is designated Critical Habitat. EFH (Essential Fish Habitat) protections apply.</w:t>
            </w:r>
          </w:p>
        </w:tc>
      </w:tr>
      <w:tr>
        <w:tblPrEx>
          <w:shd w:val="clear" w:color="auto" w:fill="cad1d7"/>
        </w:tblPrEx>
        <w:trPr>
          <w:trHeight w:val="88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Chinook Salmon</w:t>
            </w:r>
          </w:p>
        </w:tc>
        <w:tc>
          <w:tcPr>
            <w:tcW w:type="dxa" w:w="20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Species of concern; some populations listed</w:t>
            </w:r>
          </w:p>
        </w:tc>
        <w:tc>
          <w:tcPr>
            <w:tcW w:type="dxa" w:w="49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Same riparian dependencies as Coho. EFH (Essential Fish Habitat) protections under Magnuson-Stevens Act apply to harvest activities affecting streams.</w:t>
            </w:r>
          </w:p>
        </w:tc>
      </w:tr>
    </w:tbl>
    <w:p>
      <w:pPr>
        <w:pStyle w:val="Heading 2"/>
        <w:widowControl w:val="0"/>
      </w:pPr>
    </w:p>
    <w:p>
      <w:pPr>
        <w:pStyle w:val="Body"/>
        <w:spacing w:before="120"/>
      </w:pPr>
      <w:r>
        <w:rPr>
          <w:rtl w:val="0"/>
          <w:lang w:val="en-US"/>
        </w:rPr>
        <w:t>Not noted above, but also</w:t>
      </w:r>
      <w:r>
        <w:rPr>
          <w:rtl w:val="0"/>
          <w:lang w:val="en-US"/>
        </w:rPr>
        <w:t xml:space="preserve"> listed as threatened or endangered</w:t>
      </w:r>
      <w:r>
        <w:rPr>
          <w:rtl w:val="0"/>
          <w:lang w:val="en-US"/>
        </w:rPr>
        <w:t xml:space="preserve"> within this planning area</w:t>
      </w:r>
      <w:r>
        <w:rPr>
          <w:rtl w:val="0"/>
          <w:lang w:val="en-US"/>
        </w:rPr>
        <w:t xml:space="preserve">– </w:t>
      </w:r>
      <w:r>
        <w:rPr>
          <w:rtl w:val="0"/>
          <w:lang w:val="en-US"/>
        </w:rPr>
        <w:t>and must be included in the analysis</w:t>
      </w:r>
      <w:r>
        <w:rPr>
          <w:rtl w:val="0"/>
          <w:lang w:val="en-US"/>
        </w:rPr>
        <w:t xml:space="preserve">– </w:t>
      </w:r>
      <w:r>
        <w:rPr>
          <w:rtl w:val="0"/>
        </w:rPr>
        <w:t>are</w:t>
      </w:r>
      <w:r>
        <w:rPr>
          <w:rtl w:val="0"/>
          <w:lang w:val="en-US"/>
        </w:rPr>
        <w:t xml:space="preserve"> the Pacific Marten, Wolverine, Columbian White-tailed Deer, Grey wolf, Streaked horned Lark, Yellow-Billed Cakoo, Bull Trout, White Sturgeon, Umpqua Chub, Oregon spotted Frog, Foothill Yellow-egged Frog,Taylor's Checkerspot Butterfly, Fender's Blue Butterfly, Oregon Silverspot Butterfly, and Franklin's Bumblebee. Not individually listed </w:t>
      </w:r>
      <w:r>
        <w:rPr>
          <w:rtl w:val="0"/>
          <w:lang w:val="en-US"/>
        </w:rPr>
        <w:t xml:space="preserve">here are </w:t>
      </w:r>
      <w:r>
        <w:rPr>
          <w:rtl w:val="0"/>
          <w:lang w:val="en-US"/>
        </w:rPr>
        <w:t xml:space="preserve">at least 14 special status, rare and Threatened or Endangered </w:t>
      </w:r>
      <w:r>
        <w:rPr>
          <w:rtl w:val="0"/>
          <w:lang w:val="nl-NL"/>
        </w:rPr>
        <w:t>plant species</w:t>
      </w:r>
      <w:r>
        <w:rPr>
          <w:rtl w:val="0"/>
          <w:lang w:val="en-US"/>
        </w:rPr>
        <w:t xml:space="preserve">, </w:t>
      </w:r>
      <w:r>
        <w:rPr>
          <w:rtl w:val="0"/>
          <w:lang w:val="en-US"/>
        </w:rPr>
        <w:t xml:space="preserve">to be legally protected on </w:t>
      </w:r>
      <w:r>
        <w:rPr>
          <w:rtl w:val="0"/>
          <w:lang w:val="en-US"/>
        </w:rPr>
        <w:t xml:space="preserve">these </w:t>
      </w:r>
      <w:r>
        <w:rPr>
          <w:rtl w:val="0"/>
          <w:lang w:val="da-DK"/>
        </w:rPr>
        <w:t xml:space="preserve">BLM </w:t>
      </w:r>
      <w:r>
        <w:rPr>
          <w:rtl w:val="0"/>
          <w:lang w:val="en-US"/>
        </w:rPr>
        <w:t>lands.</w:t>
      </w:r>
    </w:p>
    <w:p>
      <w:pPr>
        <w:pStyle w:val="Heading 2"/>
      </w:pPr>
    </w:p>
    <w:p>
      <w:pPr>
        <w:pStyle w:val="Heading 2"/>
      </w:pPr>
      <w:r>
        <w:rPr>
          <w:rtl w:val="0"/>
          <w:lang w:val="en-US"/>
        </w:rPr>
        <w:t>C.  Barred Owl Does Not Eliminate ESA Obligations</w:t>
      </w:r>
    </w:p>
    <w:p>
      <w:pPr>
        <w:pStyle w:val="Body"/>
        <w:spacing w:before="80" w:after="80"/>
      </w:pPr>
      <w:r>
        <w:rPr>
          <w:outline w:val="0"/>
          <w:color w:val="1c1a16"/>
          <w:u w:color="1c1a16"/>
          <w:rtl w:val="0"/>
          <w:lang w:val="en-US"/>
          <w14:textFill>
            <w14:solidFill>
              <w14:srgbClr w14:val="1C1A16"/>
            </w14:solidFill>
          </w14:textFill>
        </w:rPr>
        <w:t>The Notice of Intent references the invasive Barred Owl as a factor in Northern Spotted Owl decline. This is appropriate context. However, the presence of the Barred Owl does not diminish the ESA</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legal protections for the Northern Spotted Owl, does not eliminate Critical Habitat designations, and does not authorize harvest of Spotted Owl nesting and roosting habitat. The Barred Owl issue requires its own management response</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it cannot function as a rationale for large-scale Mature and Old-Growth harvest.</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V.  Argument 3 </w:t>
      </w:r>
      <w:r>
        <w:rPr>
          <w:rtl w:val="0"/>
          <w:lang w:val="en-US"/>
        </w:rPr>
        <w:t xml:space="preserve">— </w:t>
      </w:r>
      <w:r>
        <w:rPr>
          <w:rtl w:val="0"/>
          <w:lang w:val="en-US"/>
        </w:rPr>
        <w:t>The Economic Justification Is Factually Unsupported</w:t>
      </w:r>
    </w:p>
    <w:p>
      <w:pPr>
        <w:pStyle w:val="Heading 2"/>
      </w:pPr>
      <w:r>
        <w:rPr>
          <w:rtl w:val="0"/>
          <w:lang w:val="en-US"/>
        </w:rPr>
        <w:t>A.  Automation, Not Environmental Regulation, Eliminated Timber Jobs</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Oregon timber industry employment fell from approximately 72,000 workers in</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1990 to under 30,000 by 2020</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during a period in which harvest volumes fluctuated due to multiple factors. The primary structural driver was mechanization and automation, not environmental regulation. A single feller-buncher machine replaces 8 to 12 human workers. Doubling harvest volume will not double employment. </w:t>
      </w:r>
    </w:p>
    <w:p>
      <w:pPr>
        <w:pStyle w:val="Body"/>
        <w:spacing w:before="80" w:after="80"/>
      </w:pPr>
      <w:r>
        <w:rPr>
          <w:outline w:val="0"/>
          <w:color w:val="1c1a16"/>
          <w:u w:color="1c1a16"/>
          <w:rtl w:val="0"/>
          <w:lang w:val="en-US"/>
          <w14:textFill>
            <w14:solidFill>
              <w14:srgbClr w14:val="1C1A16"/>
            </w14:solidFill>
          </w14:textFill>
        </w:rPr>
        <w:t>The EIS (Environmental Impact Statement) must model actual employment projections tied to realistic mechanization rates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not gross volume projections that assume 1960s labor intensity</w:t>
      </w:r>
      <w:r>
        <w:rPr>
          <w:outline w:val="0"/>
          <w:color w:val="1c1a16"/>
          <w:u w:color="1c1a16"/>
          <w:rtl w:val="0"/>
          <w:lang w:val="en-US"/>
          <w14:textFill>
            <w14:solidFill>
              <w14:srgbClr w14:val="1C1A16"/>
            </w14:solidFill>
          </w14:textFill>
        </w:rPr>
        <w:t xml:space="preserve"> and wages</w:t>
      </w:r>
      <w:r>
        <w:rPr>
          <w:outline w:val="0"/>
          <w:color w:val="1c1a16"/>
          <w:u w:color="1c1a16"/>
          <w:rtl w:val="0"/>
          <w14:textFill>
            <w14:solidFill>
              <w14:srgbClr w14:val="1C1A16"/>
            </w14:solidFill>
          </w14:textFill>
        </w:rPr>
        <w:t>.</w:t>
      </w:r>
    </w:p>
    <w:p>
      <w:pPr>
        <w:pStyle w:val="Heading 2"/>
      </w:pPr>
      <w:r>
        <w:rPr>
          <w:rtl w:val="0"/>
          <w:lang w:val="en-US"/>
        </w:rPr>
        <w:t>B.  Reforestation Labor Depends on H-2B Visa Workforce</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 manual labor components of any expanded timber program</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tree planting, site preparation, brush control, </w:t>
      </w:r>
      <w:r>
        <w:rPr>
          <w:outline w:val="0"/>
          <w:color w:val="1c1a16"/>
          <w:u w:color="1c1a16"/>
          <w:rtl w:val="0"/>
          <w:lang w:val="en-US"/>
          <w14:textFill>
            <w14:solidFill>
              <w14:srgbClr w14:val="1C1A16"/>
            </w14:solidFill>
          </w14:textFill>
        </w:rPr>
        <w:t xml:space="preserve">herbicide spraying </w:t>
      </w:r>
      <w:r>
        <w:rPr>
          <w:outline w:val="0"/>
          <w:color w:val="1c1a16"/>
          <w:u w:color="1c1a16"/>
          <w:rtl w:val="0"/>
          <w:lang w:val="en-US"/>
          <w14:textFill>
            <w14:solidFill>
              <w14:srgbClr w14:val="1C1A16"/>
            </w14:solidFill>
          </w14:textFill>
        </w:rPr>
        <w:t>and slash cleanup</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now rely predominantly on H-2B seasonal visa workers. Industry sources estimate 60 to 80 percent of reforestation labor in Oregon is performed by H-2B crews. Under the current administration</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 xml:space="preserve">s immigration enforcement priorities, this workforce faces severe disruption. As of March 16, 2026, the announcement was made to lower these visa workers wages, clearly to entice more hiring to fill the positions of the added pressure put on by these </w:t>
      </w:r>
      <w:r>
        <w:rPr>
          <w:outline w:val="0"/>
          <w:color w:val="1c1a16"/>
          <w:u w:color="1c1a16"/>
          <w:rtl w:val="0"/>
          <w:lang w:val="en-US"/>
          <w14:textFill>
            <w14:solidFill>
              <w14:srgbClr w14:val="1C1A16"/>
            </w14:solidFill>
          </w14:textFill>
        </w:rPr>
        <w:t>recently</w:t>
      </w:r>
      <w:r>
        <w:rPr>
          <w:outline w:val="0"/>
          <w:color w:val="1c1a16"/>
          <w:u w:color="1c1a16"/>
          <w:rtl w:val="0"/>
          <w:lang w:val="en-US"/>
          <w14:textFill>
            <w14:solidFill>
              <w14:srgbClr w14:val="1C1A16"/>
            </w14:solidFill>
          </w14:textFill>
        </w:rPr>
        <w:t xml:space="preserve"> increased</w:t>
      </w:r>
      <w:r>
        <w:rPr>
          <w:outline w:val="0"/>
          <w:color w:val="1c1a16"/>
          <w:u w:color="1c1a16"/>
          <w:rtl w:val="0"/>
          <w:lang w:val="en-US"/>
          <w14:textFill>
            <w14:solidFill>
              <w14:srgbClr w14:val="1C1A16"/>
            </w14:solidFill>
          </w14:textFill>
        </w:rPr>
        <w:t xml:space="preserve"> extraction and </w:t>
      </w:r>
      <w:r>
        <w:rPr>
          <w:outline w:val="0"/>
          <w:color w:val="1c1a16"/>
          <w:u w:color="1c1a16"/>
          <w:rtl w:val="0"/>
          <w:lang w:val="en-US"/>
          <w14:textFill>
            <w14:solidFill>
              <w14:srgbClr w14:val="1C1A16"/>
            </w14:solidFill>
          </w14:textFill>
        </w:rPr>
        <w:t>timber harvest action</w:t>
      </w:r>
      <w:r>
        <w:rPr>
          <w:outline w:val="0"/>
          <w:color w:val="1c1a16"/>
          <w:u w:color="1c1a16"/>
          <w:rtl w:val="0"/>
          <w:lang w:val="en-US"/>
          <w14:textFill>
            <w14:solidFill>
              <w14:srgbClr w14:val="1C1A16"/>
            </w14:solidFill>
          </w14:textFill>
        </w:rPr>
        <w:t xml:space="preserve">s across the nation. </w:t>
      </w:r>
    </w:p>
    <w:p>
      <w:pPr>
        <w:pStyle w:val="Body"/>
        <w:spacing w:before="80" w:after="80"/>
      </w:pPr>
      <w:r>
        <w:rPr>
          <w:outline w:val="0"/>
          <w:color w:val="1c1a16"/>
          <w:u w:color="1c1a16"/>
          <w:rtl w:val="0"/>
          <w:lang w:val="en-US"/>
          <w14:textFill>
            <w14:solidFill>
              <w14:srgbClr w14:val="1C1A16"/>
            </w14:solidFill>
          </w14:textFill>
        </w:rPr>
        <w:t>The</w:t>
      </w:r>
      <w:r>
        <w:rPr>
          <w:outline w:val="0"/>
          <w:color w:val="1c1a16"/>
          <w:u w:color="1c1a16"/>
          <w:rtl w:val="0"/>
          <w:lang w:val="en-US"/>
          <w14:textFill>
            <w14:solidFill>
              <w14:srgbClr w14:val="1C1A16"/>
            </w14:solidFill>
          </w14:textFill>
        </w:rPr>
        <w:t xml:space="preserve"> EIS must analyze </w:t>
      </w:r>
      <w:r>
        <w:rPr>
          <w:outline w:val="0"/>
          <w:color w:val="1c1a16"/>
          <w:u w:color="1c1a16"/>
          <w:rtl w:val="0"/>
          <w:lang w:val="en-US"/>
          <w14:textFill>
            <w14:solidFill>
              <w14:srgbClr w14:val="1C1A16"/>
            </w14:solidFill>
          </w14:textFill>
        </w:rPr>
        <w:t xml:space="preserve">and explain </w:t>
      </w:r>
      <w:r>
        <w:rPr>
          <w:outline w:val="0"/>
          <w:color w:val="1c1a16"/>
          <w:u w:color="1c1a16"/>
          <w:rtl w:val="0"/>
          <w:lang w:val="en-US"/>
          <w14:textFill>
            <w14:solidFill>
              <w14:srgbClr w14:val="1C1A16"/>
            </w14:solidFill>
          </w14:textFill>
        </w:rPr>
        <w:t>who would perform this labor, at what wages, and with what local employment effects.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The reality that the</w:t>
      </w:r>
      <w:r>
        <w:rPr>
          <w:outline w:val="0"/>
          <w:color w:val="1c1a16"/>
          <w:u w:color="1c1a16"/>
          <w:rtl w:val="0"/>
          <w:lang w:val="en-US"/>
          <w14:textFill>
            <w14:solidFill>
              <w14:srgbClr w14:val="1C1A16"/>
            </w14:solidFill>
          </w14:textFill>
        </w:rPr>
        <w:t xml:space="preserve"> prevailing</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"Financial</w:t>
      </w:r>
      <w:r>
        <w:rPr>
          <w:outline w:val="0"/>
          <w:color w:val="1c1a16"/>
          <w:u w:color="1c1a16"/>
          <w:rtl w:val="0"/>
          <w:lang w:val="da-DK"/>
          <w14:textFill>
            <w14:solidFill>
              <w14:srgbClr w14:val="1C1A16"/>
            </w14:solidFill>
          </w14:textFill>
        </w:rPr>
        <w:t xml:space="preserve"> forestry</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and Wall Street</w:t>
      </w:r>
      <w:r>
        <w:rPr>
          <w:outline w:val="0"/>
          <w:color w:val="1c1a16"/>
          <w:u w:color="1c1a16"/>
          <w:rtl w:val="0"/>
          <w:lang w:val="en-US"/>
          <w14:textFill>
            <w14:solidFill>
              <w14:srgbClr w14:val="1C1A16"/>
            </w14:solidFill>
          </w14:textFill>
        </w:rPr>
        <w:t xml:space="preserve"> Timber industry</w:t>
      </w:r>
      <w:r>
        <w:rPr>
          <w:outline w:val="0"/>
          <w:color w:val="1c1a16"/>
          <w:u w:color="1c1a16"/>
          <w:rtl w:val="0"/>
          <w:lang w:val="en-US"/>
          <w14:textFill>
            <w14:solidFill>
              <w14:srgbClr w14:val="1C1A16"/>
            </w14:solidFill>
          </w14:textFill>
        </w:rPr>
        <w:t xml:space="preserve"> model, will continue to hire an</w:t>
      </w:r>
      <w:r>
        <w:rPr>
          <w:outline w:val="0"/>
          <w:color w:val="1c1a16"/>
          <w:u w:color="1c1a16"/>
          <w:rtl w:val="0"/>
          <w:lang w:val="en-US"/>
          <w14:textFill>
            <w14:solidFill>
              <w14:srgbClr w14:val="1C1A16"/>
            </w14:solidFill>
          </w14:textFill>
        </w:rPr>
        <w:t>d</w:t>
      </w:r>
      <w:r>
        <w:rPr>
          <w:outline w:val="0"/>
          <w:color w:val="1c1a16"/>
          <w:u w:color="1c1a16"/>
          <w:rtl w:val="0"/>
          <w:lang w:val="en-US"/>
          <w14:textFill>
            <w14:solidFill>
              <w14:srgbClr w14:val="1C1A16"/>
            </w14:solidFill>
          </w14:textFill>
        </w:rPr>
        <w:t xml:space="preserve"> under pay workers to</w:t>
      </w:r>
      <w:r>
        <w:rPr>
          <w:outline w:val="0"/>
          <w:color w:val="1c1a16"/>
          <w:u w:color="1c1a16"/>
          <w:rtl w:val="0"/>
          <w:lang w:val="en-US"/>
          <w14:textFill>
            <w14:solidFill>
              <w14:srgbClr w14:val="1C1A16"/>
            </w14:solidFill>
          </w14:textFill>
        </w:rPr>
        <w:t xml:space="preserve"> fill</w:t>
      </w:r>
      <w:r>
        <w:rPr>
          <w:outline w:val="0"/>
          <w:color w:val="1c1a16"/>
          <w:u w:color="1c1a16"/>
          <w:rtl w:val="0"/>
          <w:lang w:val="en-US"/>
          <w14:textFill>
            <w14:solidFill>
              <w14:srgbClr w14:val="1C1A16"/>
            </w14:solidFill>
          </w14:textFill>
        </w:rPr>
        <w:t xml:space="preserve"> the increasing number of forestry labor jobs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instead of hiring local employees at anywhere near the historic wages. It is important to note that at the turn of the century and for</w:t>
      </w:r>
      <w:r>
        <w:rPr>
          <w:outline w:val="0"/>
          <w:color w:val="1c1a16"/>
          <w:u w:color="1c1a16"/>
          <w:rtl w:val="0"/>
          <w:lang w:val="en-US"/>
          <w14:textFill>
            <w14:solidFill>
              <w14:srgbClr w14:val="1C1A16"/>
            </w14:solidFill>
          </w14:textFill>
        </w:rPr>
        <w:t xml:space="preserve"> the first half</w:t>
      </w:r>
      <w:r>
        <w:rPr>
          <w:outline w:val="0"/>
          <w:color w:val="1c1a16"/>
          <w:u w:color="1c1a16"/>
          <w:rtl w:val="0"/>
          <w:lang w:val="en-US"/>
          <w14:textFill>
            <w14:solidFill>
              <w14:srgbClr w14:val="1C1A16"/>
            </w14:solidFill>
          </w14:textFill>
        </w:rPr>
        <w:t>, loggers and Forest workers got paid a reasonably high wage in compensation for the dangerous and difficult work that they performed.</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Where is the proof that standard would return</w:t>
      </w:r>
      <w:r>
        <w:rPr>
          <w:outline w:val="0"/>
          <w:color w:val="1c1a16"/>
          <w:u w:color="1c1a16"/>
          <w:rtl w:val="0"/>
          <w:lang w:val="zh-TW" w:eastAsia="zh-TW"/>
          <w14:textFill>
            <w14:solidFill>
              <w14:srgbClr w14:val="1C1A16"/>
            </w14:solidFill>
          </w14:textFill>
        </w:rPr>
        <w:t>?</w:t>
      </w:r>
    </w:p>
    <w:p>
      <w:pPr>
        <w:pStyle w:val="Heading 2"/>
      </w:pPr>
      <w:r>
        <w:rPr>
          <w:rtl w:val="0"/>
          <w:lang w:val="en-US"/>
        </w:rPr>
        <w:t>C.  Recreation and Tourism Economy Substantially Exceeds Timber Revenue</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Oregon Coast tourism generates in excess of $800 million annually in Lincoln County and surrounding communities</w:t>
      </w:r>
      <w:r>
        <w:rPr>
          <w:outline w:val="0"/>
          <w:color w:val="1c1a16"/>
          <w:u w:color="1c1a16"/>
          <w:rtl w:val="0"/>
          <w:lang w:val="en-US"/>
          <w14:textFill>
            <w14:solidFill>
              <w14:srgbClr w14:val="1C1A16"/>
            </w14:solidFill>
          </w14:textFill>
        </w:rPr>
        <w:t xml:space="preserve">; and $16 million in the state Oregon, and growing. </w:t>
      </w:r>
      <w:r>
        <w:rPr>
          <w:outline w:val="0"/>
          <w:color w:val="1c1a16"/>
          <w:u w:color="1c1a16"/>
          <w:rtl w:val="0"/>
          <w:lang w:val="en-US"/>
          <w14:textFill>
            <w14:solidFill>
              <w14:srgbClr w14:val="1C1A16"/>
            </w14:solidFill>
          </w14:textFill>
        </w:rPr>
        <w:t xml:space="preserve">Recreational fishing in the coastal rivers and streams are directly dependent on healthy, intact riparian forest maintaining cold water temperatures, stream flows, and salmon habitat. </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 BLM must conduct a full comparative economic analysis of timber harvest revenue versus recreation economy value</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including the significant risk of recreation economy damage from large-scale harvest operations near the coast.</w:t>
      </w:r>
      <w:r>
        <w:rPr>
          <w:outline w:val="0"/>
          <w:color w:val="1c1a16"/>
          <w:u w:color="1c1a16"/>
          <w:rtl w:val="0"/>
          <w:lang w:val="en-US"/>
          <w14:textFill>
            <w14:solidFill>
              <w14:srgbClr w14:val="1C1A16"/>
            </w14:solidFill>
          </w14:textFill>
        </w:rPr>
        <w:t xml:space="preserve"> </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The draft EIS </w:t>
      </w:r>
      <w:r>
        <w:rPr>
          <w:outline w:val="0"/>
          <w:color w:val="1c1a16"/>
          <w:u w:color="1c1a16"/>
          <w:rtl w:val="0"/>
          <w:lang w:val="en-US"/>
          <w14:textFill>
            <w14:solidFill>
              <w14:srgbClr w14:val="1C1A16"/>
            </w14:solidFill>
          </w14:textFill>
        </w:rPr>
        <w:t>must produce, evaluate, and present to the public</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 comprehensive comparative analysis on both the economic and ecological values of these intact mature and old</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growth Forests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including the serious large scale negative impacts that this increased </w:t>
      </w:r>
      <w:r>
        <w:rPr>
          <w:outline w:val="0"/>
          <w:color w:val="1c1a16"/>
          <w:u w:color="1c1a16"/>
          <w:rtl w:val="0"/>
          <w:lang w:val="en-US"/>
          <w14:textFill>
            <w14:solidFill>
              <w14:srgbClr w14:val="1C1A16"/>
            </w14:solidFill>
          </w14:textFill>
        </w:rPr>
        <w:t>demand</w:t>
      </w:r>
      <w:r>
        <w:rPr>
          <w:outline w:val="0"/>
          <w:color w:val="1c1a16"/>
          <w:u w:color="1c1a16"/>
          <w:rtl w:val="0"/>
          <w:lang w:val="en-US"/>
          <w14:textFill>
            <w14:solidFill>
              <w14:srgbClr w14:val="1C1A16"/>
            </w14:solidFill>
          </w14:textFill>
        </w:rPr>
        <w:t xml:space="preserve"> of</w:t>
      </w:r>
      <w:r>
        <w:rPr>
          <w:outline w:val="0"/>
          <w:color w:val="1c1a16"/>
          <w:u w:color="1c1a16"/>
          <w:rtl w:val="0"/>
          <w:lang w:val="en-US"/>
          <w14:textFill>
            <w14:solidFill>
              <w14:srgbClr w14:val="1C1A16"/>
            </w14:solidFill>
          </w14:textFill>
        </w:rPr>
        <w:t xml:space="preserve"> harvesting </w:t>
      </w:r>
      <w:r>
        <w:rPr>
          <w:outline w:val="0"/>
          <w:color w:val="1c1a16"/>
          <w:u w:color="1c1a16"/>
          <w:rtl w:val="0"/>
          <w:lang w:val="en-US"/>
          <w14:textFill>
            <w14:solidFill>
              <w14:srgbClr w14:val="1C1A16"/>
            </w14:solidFill>
          </w14:textFill>
        </w:rPr>
        <w:t xml:space="preserve">would have </w:t>
      </w:r>
      <w:r>
        <w:rPr>
          <w:outline w:val="0"/>
          <w:color w:val="1c1a16"/>
          <w:u w:color="1c1a16"/>
          <w:rtl w:val="0"/>
          <w:lang w:val="en-US"/>
          <w14:textFill>
            <w14:solidFill>
              <w14:srgbClr w14:val="1C1A16"/>
            </w14:solidFill>
          </w14:textFill>
        </w:rPr>
        <w:t>on our</w:t>
      </w:r>
      <w:r>
        <w:rPr>
          <w:outline w:val="0"/>
          <w:color w:val="1c1a16"/>
          <w:u w:color="1c1a16"/>
          <w:rtl w:val="0"/>
          <w:lang w:val="en-US"/>
          <w14:textFill>
            <w14:solidFill>
              <w14:srgbClr w14:val="1C1A16"/>
            </w14:solidFill>
          </w14:textFill>
        </w:rPr>
        <w:t xml:space="preserve"> growing outdoor economy</w:t>
      </w:r>
      <w:r>
        <w:rPr>
          <w:outline w:val="0"/>
          <w:color w:val="1c1a16"/>
          <w:u w:color="1c1a16"/>
          <w:rtl w:val="0"/>
          <w:lang w:val="en-US"/>
          <w14:textFill>
            <w14:solidFill>
              <w14:srgbClr w14:val="1C1A16"/>
            </w14:solidFill>
          </w14:textFill>
        </w:rPr>
        <w:t>.</w:t>
      </w:r>
    </w:p>
    <w:p>
      <w:pPr>
        <w:pStyle w:val="Body"/>
        <w:spacing w:before="80" w:after="80"/>
      </w:pPr>
    </w:p>
    <w:p>
      <w:pPr>
        <w:pStyle w:val="Heading 2"/>
      </w:pPr>
    </w:p>
    <w:p>
      <w:pPr>
        <w:pStyle w:val="Heading 2"/>
      </w:pPr>
    </w:p>
    <w:p>
      <w:pPr>
        <w:pStyle w:val="Heading 2"/>
      </w:pPr>
    </w:p>
    <w:p>
      <w:pPr>
        <w:pStyle w:val="Heading 2"/>
      </w:pPr>
    </w:p>
    <w:p>
      <w:pPr>
        <w:pStyle w:val="Heading 2"/>
      </w:pPr>
    </w:p>
    <w:p>
      <w:pPr>
        <w:pStyle w:val="Heading 2"/>
      </w:pPr>
      <w:r>
        <w:rPr>
          <w:rtl w:val="0"/>
        </w:rPr>
        <w:t xml:space="preserve">D.  </w:t>
      </w:r>
      <w:r>
        <w:rPr>
          <w:rtl w:val="0"/>
          <w:lang w:val="en-US"/>
        </w:rPr>
        <w:t xml:space="preserve">BLM's claim of </w:t>
      </w:r>
      <w:r>
        <w:rPr>
          <w:rtl w:val="0"/>
          <w:lang w:val="en-US"/>
        </w:rPr>
        <w:t xml:space="preserve">Greatly </w:t>
      </w:r>
      <w:r>
        <w:rPr>
          <w:rtl w:val="0"/>
          <w:lang w:val="en-US"/>
        </w:rPr>
        <w:t>I</w:t>
      </w:r>
      <w:r>
        <w:rPr>
          <w:rtl w:val="0"/>
          <w:lang w:val="en-US"/>
        </w:rPr>
        <w:t xml:space="preserve">ncreasing </w:t>
      </w:r>
      <w:r>
        <w:rPr>
          <w:rtl w:val="0"/>
          <w:lang w:val="en-US"/>
        </w:rPr>
        <w:t>L</w:t>
      </w:r>
      <w:r>
        <w:rPr>
          <w:rtl w:val="0"/>
          <w:lang w:val="en-US"/>
        </w:rPr>
        <w:t xml:space="preserve">ocal </w:t>
      </w:r>
      <w:r>
        <w:rPr>
          <w:rtl w:val="0"/>
          <w:lang w:val="en-US"/>
        </w:rPr>
        <w:t>J</w:t>
      </w:r>
      <w:r>
        <w:rPr>
          <w:rtl w:val="0"/>
          <w:lang w:val="en-US"/>
        </w:rPr>
        <w:t xml:space="preserve">obs and </w:t>
      </w:r>
      <w:r>
        <w:rPr>
          <w:rtl w:val="0"/>
          <w:lang w:val="en-US"/>
        </w:rPr>
        <w:t>E</w:t>
      </w:r>
      <w:r>
        <w:rPr>
          <w:rtl w:val="0"/>
          <w:lang w:val="en-US"/>
        </w:rPr>
        <w:t>conomy</w:t>
      </w:r>
      <w:r>
        <w:rPr>
          <w:rtl w:val="0"/>
          <w:lang w:val="en-US"/>
        </w:rPr>
        <w:t xml:space="preserve"> </w:t>
      </w:r>
      <w:r>
        <w:rPr>
          <w:rtl w:val="0"/>
          <w:lang w:val="en-US"/>
        </w:rPr>
        <w:t xml:space="preserve">has many holes </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The O&amp;C Act of 1937 was enacted as a compensatory mechanism to replace property tax revenues that Oregon counties lost when the federal government revested the Oregon and California Railroad grant lands beginning in 1916. It was a practical </w:t>
      </w:r>
      <w:r>
        <w:rPr>
          <w:outline w:val="0"/>
          <w:color w:val="1c1a16"/>
          <w:u w:color="1c1a16"/>
          <w:rtl w:val="0"/>
          <w:lang w:val="en-US"/>
          <w14:textFill>
            <w14:solidFill>
              <w14:srgbClr w14:val="1C1A16"/>
            </w14:solidFill>
          </w14:textFill>
        </w:rPr>
        <w:t>law designed as a sort of Trust</w:t>
      </w:r>
      <w:r>
        <w:rPr>
          <w:outline w:val="0"/>
          <w:color w:val="1c1a16"/>
          <w:u w:color="1c1a16"/>
          <w:rtl w:val="0"/>
          <w14:textFill>
            <w14:solidFill>
              <w14:srgbClr w14:val="1C1A16"/>
            </w14:solidFill>
          </w14:textFill>
        </w:rPr>
        <w:t xml:space="preserve"> for </w:t>
      </w:r>
      <w:r>
        <w:rPr>
          <w:outline w:val="0"/>
          <w:color w:val="1c1a16"/>
          <w:u w:color="1c1a16"/>
          <w:rtl w:val="0"/>
          <w:lang w:val="en-US"/>
          <w14:textFill>
            <w14:solidFill>
              <w14:srgbClr w14:val="1C1A16"/>
            </w14:solidFill>
          </w14:textFill>
        </w:rPr>
        <w:t xml:space="preserve">their </w:t>
      </w:r>
      <w:r>
        <w:rPr>
          <w:outline w:val="0"/>
          <w:color w:val="1c1a16"/>
          <w:u w:color="1c1a16"/>
          <w:rtl w:val="0"/>
          <w:lang w:val="en-US"/>
          <w14:textFill>
            <w14:solidFill>
              <w14:srgbClr w14:val="1C1A16"/>
            </w14:solidFill>
          </w14:textFill>
        </w:rPr>
        <w:t>specific revenue problem</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not a permanent Congressional mandate for maximum timber extraction. </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 revenue levels of the 1960s and 1970s were produced by one-time liquidation of Mature and Old-Growth forests that had accumulated over centuries. Those revenue levels cannot be recreated without repeating the same liquidation</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which is</w:t>
      </w:r>
      <w:r>
        <w:rPr>
          <w:outline w:val="0"/>
          <w:color w:val="1c1a16"/>
          <w:u w:color="1c1a16"/>
          <w:rtl w:val="0"/>
          <w:lang w:val="en-US"/>
          <w14:textFill>
            <w14:solidFill>
              <w14:srgbClr w14:val="1C1A16"/>
            </w14:solidFill>
          </w14:textFill>
        </w:rPr>
        <w:t xml:space="preserve"> not only </w:t>
      </w:r>
      <w:r>
        <w:rPr>
          <w:outline w:val="0"/>
          <w:color w:val="1c1a16"/>
          <w:u w:color="1c1a16"/>
          <w:rtl w:val="0"/>
          <w:lang w:val="en-US"/>
          <w14:textFill>
            <w14:solidFill>
              <w14:srgbClr w14:val="1C1A16"/>
            </w14:solidFill>
          </w14:textFill>
        </w:rPr>
        <w:t xml:space="preserve">both legally prohibited and ecologically </w:t>
      </w:r>
      <w:r>
        <w:rPr>
          <w:outline w:val="0"/>
          <w:color w:val="1c1a16"/>
          <w:u w:color="1c1a16"/>
          <w:rtl w:val="0"/>
          <w:lang w:val="en-US"/>
          <w14:textFill>
            <w14:solidFill>
              <w14:srgbClr w14:val="1C1A16"/>
            </w14:solidFill>
          </w14:textFill>
        </w:rPr>
        <w:t>irreversible, but it's also completely impossible to produce the anywhere near the same results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especially not w</w:t>
      </w:r>
      <w:r>
        <w:rPr>
          <w:outline w:val="0"/>
          <w:color w:val="1c1a16"/>
          <w:u w:color="1c1a16"/>
          <w:rtl w:val="0"/>
          <w:lang w:val="en-US"/>
          <w14:textFill>
            <w14:solidFill>
              <w14:srgbClr w14:val="1C1A16"/>
            </w14:solidFill>
          </w14:textFill>
        </w:rPr>
        <w:t>hile</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adhering to the O&amp;C Acts mandate and description of "Sustained yield". Sustained yield </w:t>
      </w:r>
      <w:r>
        <w:rPr>
          <w:outline w:val="0"/>
          <w:color w:val="1c1a16"/>
          <w:u w:color="1c1a16"/>
          <w:rtl w:val="0"/>
          <w:lang w:val="en-US"/>
          <w14:textFill>
            <w14:solidFill>
              <w14:srgbClr w14:val="1C1A16"/>
            </w14:solidFill>
          </w14:textFill>
        </w:rPr>
        <w:t>means sustained by continuous balanced management of the forest to be able to continually produce more than is taken</w:t>
      </w:r>
      <w:r>
        <w:rPr>
          <w:outline w:val="0"/>
          <w:color w:val="1c1a16"/>
          <w:u w:color="1c1a16"/>
          <w:rtl w:val="0"/>
          <w:lang w:val="en-US"/>
          <w14:textFill>
            <w14:solidFill>
              <w14:srgbClr w14:val="1C1A16"/>
            </w14:solidFill>
          </w14:textFill>
        </w:rPr>
        <w:t>, in order to support the O&amp;C Counties and communities multiple-use needs in perpetuity.</w:t>
      </w:r>
    </w:p>
    <w:p>
      <w:pPr>
        <w:pStyle w:val="Body"/>
        <w:spacing w:before="80" w:after="80"/>
        <w:rPr>
          <w:outline w:val="0"/>
          <w:color w:val="000000"/>
          <w:sz w:val="20"/>
          <w:szCs w:val="20"/>
          <w:u w:color="000000"/>
          <w14:textFill>
            <w14:solidFill>
              <w14:srgbClr w14:val="000000"/>
            </w14:solidFill>
          </w14:textFill>
        </w:rPr>
      </w:pPr>
      <w:r>
        <w:rPr>
          <w:outline w:val="0"/>
          <w:color w:val="1c1a16"/>
          <w:u w:color="1c1a16"/>
          <w:rtl w:val="0"/>
          <w:lang w:val="en-US"/>
          <w14:textFill>
            <w14:solidFill>
              <w14:srgbClr w14:val="1C1A16"/>
            </w14:solidFill>
          </w14:textFill>
        </w:rPr>
        <w:t xml:space="preserve">Advanced Logging machinery </w:t>
      </w:r>
      <w:r>
        <w:rPr>
          <w:outline w:val="0"/>
          <w:color w:val="1c1a16"/>
          <w:u w:color="1c1a16"/>
          <w:rtl w:val="0"/>
          <w:lang w:val="en-US"/>
          <w14:textFill>
            <w14:solidFill>
              <w14:srgbClr w14:val="1C1A16"/>
            </w14:solidFill>
          </w14:textFill>
        </w:rPr>
        <w:t xml:space="preserve">and automation, </w:t>
      </w:r>
      <w:r>
        <w:rPr>
          <w:outline w:val="0"/>
          <w:color w:val="1c1a16"/>
          <w:u w:color="1c1a16"/>
          <w:rtl w:val="0"/>
          <w:lang w:val="en-US"/>
          <w14:textFill>
            <w14:solidFill>
              <w14:srgbClr w14:val="1C1A16"/>
            </w14:solidFill>
          </w14:textFill>
        </w:rPr>
        <w:t>along with decades of relying on the exploitation of H2 B guest workers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for</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labor intensive Forest </w:t>
      </w:r>
      <w:r>
        <w:rPr>
          <w:outline w:val="0"/>
          <w:color w:val="1c1a16"/>
          <w:u w:color="1c1a16"/>
          <w:rtl w:val="0"/>
          <w:lang w:val="en-US"/>
          <w14:textFill>
            <w14:solidFill>
              <w14:srgbClr w14:val="1C1A16"/>
            </w14:solidFill>
          </w14:textFill>
        </w:rPr>
        <w:t xml:space="preserve">work" </w:t>
      </w:r>
      <w:r>
        <w:rPr>
          <w:outline w:val="0"/>
          <w:color w:val="1c1a16"/>
          <w:u w:color="1c1a16"/>
          <w:rtl w:val="0"/>
          <w:lang w:val="en-US"/>
          <w14:textFill>
            <w14:solidFill>
              <w14:srgbClr w14:val="1C1A16"/>
            </w14:solidFill>
          </w14:textFill>
        </w:rPr>
        <w:t xml:space="preserve">has caused the </w:t>
      </w:r>
      <w:r>
        <w:rPr>
          <w:outline w:val="0"/>
          <w:color w:val="1c1a16"/>
          <w:u w:color="1c1a16"/>
          <w:rtl w:val="0"/>
          <w:lang w:val="en-US"/>
          <w14:textFill>
            <w14:solidFill>
              <w14:srgbClr w14:val="1C1A16"/>
            </w14:solidFill>
          </w14:textFill>
        </w:rPr>
        <w:t xml:space="preserve">massive </w:t>
      </w:r>
      <w:r>
        <w:rPr>
          <w:outline w:val="0"/>
          <w:color w:val="1c1a16"/>
          <w:u w:color="1c1a16"/>
          <w:rtl w:val="0"/>
          <w:lang w:val="en-US"/>
          <w14:textFill>
            <w14:solidFill>
              <w14:srgbClr w14:val="1C1A16"/>
            </w14:solidFill>
          </w14:textFill>
        </w:rPr>
        <w:t>decline of local timber trade employment</w:t>
      </w:r>
      <w:r>
        <w:rPr>
          <w:outline w:val="0"/>
          <w:color w:val="1c1a16"/>
          <w:u w:color="1c1a16"/>
          <w:rtl w:val="0"/>
          <w:lang w:val="en-US"/>
          <w14:textFill>
            <w14:solidFill>
              <w14:srgbClr w14:val="1C1A16"/>
            </w14:solidFill>
          </w14:textFill>
        </w:rPr>
        <w:t xml:space="preserve"> since </w:t>
      </w:r>
      <w:r>
        <w:rPr>
          <w:outline w:val="0"/>
          <w:color w:val="1c1a16"/>
          <w:u w:color="1c1a16"/>
          <w:rtl w:val="0"/>
          <w:lang w:val="en-US"/>
          <w14:textFill>
            <w14:solidFill>
              <w14:srgbClr w14:val="1C1A16"/>
            </w14:solidFill>
          </w14:textFill>
        </w:rPr>
        <w:t>the early 1980s</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and that will not be changed at all by your suggested RMP plan</w:t>
      </w:r>
      <w:r>
        <w:rPr>
          <w:outline w:val="0"/>
          <w:color w:val="1c1a16"/>
          <w:u w:color="1c1a16"/>
          <w:rtl w:val="0"/>
          <w:lang w:val="en-US"/>
          <w14:textFill>
            <w14:solidFill>
              <w14:srgbClr w14:val="1C1A16"/>
            </w14:solidFill>
          </w14:textFill>
        </w:rPr>
        <w:t>. Today, one</w:t>
      </w:r>
      <w:r>
        <w:rPr>
          <w:outline w:val="0"/>
          <w:color w:val="000000"/>
          <w:sz w:val="20"/>
          <w:szCs w:val="20"/>
          <w:u w:color="000000"/>
          <w:rtl w:val="0"/>
          <w:lang w:val="it-IT"/>
          <w14:textFill>
            <w14:solidFill>
              <w14:srgbClr w14:val="000000"/>
            </w14:solidFill>
          </w14:textFill>
        </w:rPr>
        <w:t xml:space="preserve"> logg</w:t>
      </w:r>
      <w:r>
        <w:rPr>
          <w:outline w:val="0"/>
          <w:color w:val="000000"/>
          <w:sz w:val="20"/>
          <w:szCs w:val="20"/>
          <w:u w:color="000000"/>
          <w:rtl w:val="0"/>
          <w:lang w:val="en-US"/>
          <w14:textFill>
            <w14:solidFill>
              <w14:srgbClr w14:val="000000"/>
            </w14:solidFill>
          </w14:textFill>
        </w:rPr>
        <w:t>er</w:t>
      </w:r>
      <w:r>
        <w:rPr>
          <w:outline w:val="0"/>
          <w:color w:val="000000"/>
          <w:sz w:val="20"/>
          <w:szCs w:val="20"/>
          <w:u w:color="000000"/>
          <w:rtl w:val="0"/>
          <w:lang w:val="es-ES_tradnl"/>
          <w14:textFill>
            <w14:solidFill>
              <w14:srgbClr w14:val="000000"/>
            </w14:solidFill>
          </w14:textFill>
        </w:rPr>
        <w:t xml:space="preserve"> produces </w:t>
      </w:r>
      <w:r>
        <w:rPr>
          <w:outline w:val="0"/>
          <w:color w:val="000000"/>
          <w:sz w:val="20"/>
          <w:szCs w:val="20"/>
          <w:u w:color="000000"/>
          <w:rtl w:val="0"/>
          <w:lang w:val="en-US"/>
          <w14:textFill>
            <w14:solidFill>
              <w14:srgbClr w14:val="000000"/>
            </w14:solidFill>
          </w14:textFill>
        </w:rPr>
        <w:t xml:space="preserve">about 5x times </w:t>
      </w:r>
      <w:r>
        <w:rPr>
          <w:outline w:val="0"/>
          <w:color w:val="000000"/>
          <w:sz w:val="20"/>
          <w:szCs w:val="20"/>
          <w:u w:color="000000"/>
          <w:rtl w:val="0"/>
          <w:lang w:val="en-US"/>
          <w14:textFill>
            <w14:solidFill>
              <w14:srgbClr w14:val="000000"/>
            </w14:solidFill>
          </w14:textFill>
        </w:rPr>
        <w:t xml:space="preserve">more </w:t>
      </w:r>
      <w:r>
        <w:rPr>
          <w:outline w:val="0"/>
          <w:color w:val="000000"/>
          <w:sz w:val="20"/>
          <w:szCs w:val="20"/>
          <w:u w:color="000000"/>
          <w:rtl w:val="0"/>
          <w:lang w:val="en-US"/>
          <w14:textFill>
            <w14:solidFill>
              <w14:srgbClr w14:val="000000"/>
            </w14:solidFill>
          </w14:textFill>
        </w:rPr>
        <w:t>per day, than the same logger in 1976</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due to</w:t>
      </w:r>
      <w:r>
        <w:rPr>
          <w:outline w:val="0"/>
          <w:color w:val="000000"/>
          <w:sz w:val="20"/>
          <w:szCs w:val="20"/>
          <w:u w:color="000000"/>
          <w:rtl w:val="0"/>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automation and </w:t>
      </w:r>
      <w:r>
        <w:rPr>
          <w:outline w:val="0"/>
          <w:color w:val="000000"/>
          <w:sz w:val="20"/>
          <w:szCs w:val="20"/>
          <w:u w:color="000000"/>
          <w:rtl w:val="0"/>
          <w:lang w:val="en-US"/>
          <w14:textFill>
            <w14:solidFill>
              <w14:srgbClr w14:val="000000"/>
            </w14:solidFill>
          </w14:textFill>
        </w:rPr>
        <w:t xml:space="preserve">specialized expensive machines. The industry employs far fewer people per </w:t>
      </w:r>
      <w:r>
        <w:rPr>
          <w:outline w:val="0"/>
          <w:color w:val="000000"/>
          <w:sz w:val="20"/>
          <w:szCs w:val="20"/>
          <w:u w:color="000000"/>
          <w:rtl w:val="0"/>
          <w:lang w:val="en-US"/>
          <w14:textFill>
            <w14:solidFill>
              <w14:srgbClr w14:val="000000"/>
            </w14:solidFill>
          </w14:textFill>
        </w:rPr>
        <w:t>tree</w:t>
      </w:r>
      <w:r>
        <w:rPr>
          <w:outline w:val="0"/>
          <w:color w:val="000000"/>
          <w:sz w:val="20"/>
          <w:szCs w:val="20"/>
          <w:u w:color="000000"/>
          <w:rtl w:val="0"/>
          <w:lang w:val="en-US"/>
          <w14:textFill>
            <w14:solidFill>
              <w14:srgbClr w14:val="000000"/>
            </w14:solidFill>
          </w14:textFill>
        </w:rPr>
        <w:t xml:space="preserve"> cut than it ever has. More timber does not equal more local jobs the way it once did</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generations ago</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 xml:space="preserve">in that old-fashioned reasoning should not be </w:t>
      </w:r>
      <w:r>
        <w:rPr>
          <w:outline w:val="0"/>
          <w:color w:val="000000"/>
          <w:sz w:val="20"/>
          <w:szCs w:val="20"/>
          <w:u w:color="000000"/>
          <w:rtl w:val="0"/>
          <w:lang w:val="en-US"/>
          <w14:textFill>
            <w14:solidFill>
              <w14:srgbClr w14:val="000000"/>
            </w14:solidFill>
          </w14:textFill>
        </w:rPr>
        <w:t>used, as</w:t>
      </w:r>
      <w:r>
        <w:rPr>
          <w:outline w:val="0"/>
          <w:color w:val="000000"/>
          <w:sz w:val="20"/>
          <w:szCs w:val="20"/>
          <w:u w:color="000000"/>
          <w:rtl w:val="0"/>
          <w:lang w:val="en-US"/>
          <w14:textFill>
            <w14:solidFill>
              <w14:srgbClr w14:val="000000"/>
            </w14:solidFill>
          </w14:textFill>
        </w:rPr>
        <w:t xml:space="preserve"> it is completely false and</w:t>
      </w:r>
      <w:r>
        <w:rPr>
          <w:outline w:val="0"/>
          <w:color w:val="000000"/>
          <w:sz w:val="20"/>
          <w:szCs w:val="20"/>
          <w:u w:color="000000"/>
          <w:rtl w:val="0"/>
          <w:lang w:val="en-US"/>
          <w14:textFill>
            <w14:solidFill>
              <w14:srgbClr w14:val="000000"/>
            </w14:solidFill>
          </w14:textFill>
        </w:rPr>
        <w:t xml:space="preserve"> purposefully</w:t>
      </w:r>
      <w:r>
        <w:rPr>
          <w:outline w:val="0"/>
          <w:color w:val="000000"/>
          <w:sz w:val="20"/>
          <w:szCs w:val="20"/>
          <w:u w:color="000000"/>
          <w:rtl w:val="0"/>
          <w:lang w:val="en-US"/>
          <w14:textFill>
            <w14:solidFill>
              <w14:srgbClr w14:val="000000"/>
            </w14:solidFill>
          </w14:textFill>
        </w:rPr>
        <w:t xml:space="preserve"> misleading</w:t>
      </w:r>
      <w:r>
        <w:rPr>
          <w:outline w:val="0"/>
          <w:color w:val="000000"/>
          <w:sz w:val="20"/>
          <w:szCs w:val="20"/>
          <w:u w:color="000000"/>
          <w:rtl w:val="0"/>
          <w:lang w:val="en-US"/>
          <w14:textFill>
            <w14:solidFill>
              <w14:srgbClr w14:val="000000"/>
            </w14:solidFill>
          </w14:textFill>
        </w:rPr>
        <w:t xml:space="preserve">. </w:t>
      </w:r>
    </w:p>
    <w:p>
      <w:pPr>
        <w:pStyle w:val="Body"/>
        <w:bidi w:val="0"/>
        <w:ind w:left="0" w:right="0" w:firstLine="0"/>
        <w:jc w:val="left"/>
        <w:rPr>
          <w:rFonts w:ascii="Arial" w:cs="Arial" w:hAnsi="Arial" w:eastAsia="Arial"/>
          <w:outline w:val="0"/>
          <w:color w:val="000000"/>
          <w:sz w:val="20"/>
          <w:szCs w:val="20"/>
          <w:u w:color="000000"/>
          <w:rtl w:val="0"/>
          <w14:textFill>
            <w14:solidFill>
              <w14:srgbClr w14:val="000000"/>
            </w14:solidFill>
          </w14:textFill>
        </w:rPr>
      </w:pPr>
      <w:r>
        <w:rPr>
          <w:rFonts w:ascii="Arial" w:hAnsi="Arial"/>
          <w:outline w:val="0"/>
          <w:color w:val="000000"/>
          <w:sz w:val="20"/>
          <w:szCs w:val="20"/>
          <w:u w:color="000000"/>
          <w:rtl w:val="0"/>
          <w:lang w:val="en-US"/>
          <w14:textFill>
            <w14:solidFill>
              <w14:srgbClr w14:val="000000"/>
            </w14:solidFill>
          </w14:textFill>
        </w:rPr>
        <w:t xml:space="preserve">Who would take all these supposed new local jobs from within our communities? </w:t>
      </w:r>
      <w:r>
        <w:rPr>
          <w:rFonts w:ascii="Arial" w:hAnsi="Arial"/>
          <w:outline w:val="0"/>
          <w:color w:val="000000"/>
          <w:sz w:val="20"/>
          <w:szCs w:val="20"/>
          <w:u w:color="000000"/>
          <w:rtl w:val="0"/>
          <w:lang w:val="en-US"/>
          <w14:textFill>
            <w14:solidFill>
              <w14:srgbClr w14:val="000000"/>
            </w14:solidFill>
          </w14:textFill>
        </w:rPr>
        <w:t xml:space="preserve">We no longer have a trained or </w:t>
      </w:r>
      <w:r>
        <w:rPr>
          <w:rFonts w:ascii="Arial" w:hAnsi="Arial"/>
          <w:outline w:val="0"/>
          <w:color w:val="000000"/>
          <w:sz w:val="20"/>
          <w:szCs w:val="20"/>
          <w:u w:color="000000"/>
          <w:rtl w:val="0"/>
          <w:lang w:val="en-US"/>
          <w14:textFill>
            <w14:solidFill>
              <w14:srgbClr w14:val="000000"/>
            </w14:solidFill>
          </w14:textFill>
        </w:rPr>
        <w:t>willing</w:t>
      </w:r>
      <w:r>
        <w:rPr>
          <w:rFonts w:ascii="Arial" w:hAnsi="Arial"/>
          <w:outline w:val="0"/>
          <w:color w:val="000000"/>
          <w:sz w:val="20"/>
          <w:szCs w:val="20"/>
          <w:u w:color="000000"/>
          <w:rtl w:val="0"/>
          <w:lang w:val="en-US"/>
          <w14:textFill>
            <w14:solidFill>
              <w14:srgbClr w14:val="000000"/>
            </w14:solidFill>
          </w14:textFill>
        </w:rPr>
        <w:t xml:space="preserve"> workforce locally</w:t>
      </w:r>
      <w:r>
        <w:rPr>
          <w:rFonts w:ascii="Arial" w:hAnsi="Arial"/>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since automation</w:t>
      </w:r>
      <w:r>
        <w:rPr>
          <w:rFonts w:ascii="Arial" w:hAnsi="Arial"/>
          <w:outline w:val="0"/>
          <w:color w:val="000000"/>
          <w:sz w:val="20"/>
          <w:szCs w:val="20"/>
          <w:u w:color="000000"/>
          <w:rtl w:val="0"/>
          <w:lang w:val="en-US"/>
          <w14:textFill>
            <w14:solidFill>
              <w14:srgbClr w14:val="000000"/>
            </w14:solidFill>
          </w14:textFill>
        </w:rPr>
        <w:t xml:space="preserve">, raw log </w:t>
      </w:r>
      <w:r>
        <w:rPr>
          <w:rFonts w:ascii="Arial" w:hAnsi="Arial"/>
          <w:sz w:val="20"/>
          <w:szCs w:val="20"/>
          <w:u w:color="000000"/>
          <w:rtl w:val="0"/>
          <w:lang w:val="fr-FR"/>
        </w:rPr>
        <w:t xml:space="preserve">exportation </w:t>
      </w:r>
      <w:r>
        <w:rPr>
          <w:rFonts w:ascii="Arial" w:hAnsi="Arial"/>
          <w:outline w:val="0"/>
          <w:color w:val="000000"/>
          <w:sz w:val="20"/>
          <w:szCs w:val="20"/>
          <w:u w:color="000000"/>
          <w:rtl w:val="0"/>
          <w14:textFill>
            <w14:solidFill>
              <w14:srgbClr w14:val="000000"/>
            </w14:solidFill>
          </w14:textFill>
        </w:rPr>
        <w:t>and</w:t>
      </w:r>
      <w:r>
        <w:rPr>
          <w:rFonts w:ascii="Arial" w:hAnsi="Arial"/>
          <w:outline w:val="0"/>
          <w:color w:val="000000"/>
          <w:sz w:val="20"/>
          <w:szCs w:val="20"/>
          <w:u w:color="000000"/>
          <w:rtl w:val="0"/>
          <w:lang w:val="en-US"/>
          <w14:textFill>
            <w14:solidFill>
              <w14:srgbClr w14:val="000000"/>
            </w14:solidFill>
          </w14:textFill>
        </w:rPr>
        <w:t xml:space="preserve"> the </w:t>
      </w:r>
      <w:r>
        <w:rPr>
          <w:rFonts w:ascii="Arial" w:hAnsi="Arial"/>
          <w:outline w:val="0"/>
          <w:color w:val="000000"/>
          <w:sz w:val="20"/>
          <w:szCs w:val="20"/>
          <w:u w:color="000000"/>
          <w:rtl w:val="0"/>
          <w:lang w:val="fr-FR"/>
          <w14:textFill>
            <w14:solidFill>
              <w14:srgbClr w14:val="000000"/>
            </w14:solidFill>
          </w14:textFill>
        </w:rPr>
        <w:t>exploitation</w:t>
      </w:r>
      <w:r>
        <w:rPr>
          <w:rFonts w:ascii="Arial" w:hAnsi="Arial"/>
          <w:outline w:val="0"/>
          <w:color w:val="000000"/>
          <w:sz w:val="20"/>
          <w:szCs w:val="20"/>
          <w:u w:color="000000"/>
          <w:rtl w:val="0"/>
          <w:lang w:val="en-US"/>
          <w14:textFill>
            <w14:solidFill>
              <w14:srgbClr w14:val="000000"/>
            </w14:solidFill>
          </w14:textFill>
        </w:rPr>
        <w:t xml:space="preserve"> of cheap labor</w:t>
      </w:r>
      <w:r>
        <w:rPr>
          <w:rFonts w:ascii="Arial" w:hAnsi="Arial" w:hint="default"/>
          <w:outline w:val="0"/>
          <w:color w:val="000000"/>
          <w:sz w:val="20"/>
          <w:szCs w:val="20"/>
          <w:u w:color="000000"/>
          <w:rtl w:val="0"/>
          <w:lang w:val="en-US"/>
          <w14:textFill>
            <w14:solidFill>
              <w14:srgbClr w14:val="000000"/>
            </w14:solidFill>
          </w14:textFill>
        </w:rPr>
        <w:t>–</w:t>
      </w:r>
      <w:r>
        <w:rPr>
          <w:rFonts w:ascii="Arial" w:hAnsi="Arial"/>
          <w:outline w:val="0"/>
          <w:color w:val="000000"/>
          <w:sz w:val="20"/>
          <w:szCs w:val="20"/>
          <w:u w:color="000000"/>
          <w:rtl w:val="0"/>
          <w:lang w:val="en-US"/>
          <w14:textFill>
            <w14:solidFill>
              <w14:srgbClr w14:val="000000"/>
            </w14:solidFill>
          </w14:textFill>
        </w:rPr>
        <w:t xml:space="preserve"> became </w:t>
      </w:r>
      <w:r>
        <w:rPr>
          <w:rFonts w:ascii="Arial" w:hAnsi="Arial"/>
          <w:outline w:val="0"/>
          <w:color w:val="000000"/>
          <w:sz w:val="20"/>
          <w:szCs w:val="20"/>
          <w:u w:color="000000"/>
          <w:rtl w:val="0"/>
          <w:lang w:val="en-US"/>
          <w14:textFill>
            <w14:solidFill>
              <w14:srgbClr w14:val="000000"/>
            </w14:solidFill>
          </w14:textFill>
        </w:rPr>
        <w:t xml:space="preserve">the </w:t>
      </w:r>
      <w:r>
        <w:rPr>
          <w:rFonts w:ascii="Arial" w:hAnsi="Arial"/>
          <w:outline w:val="0"/>
          <w:color w:val="000000"/>
          <w:sz w:val="20"/>
          <w:szCs w:val="20"/>
          <w:u w:color="000000"/>
          <w:rtl w:val="0"/>
          <w:lang w:val="en-US"/>
          <w14:textFill>
            <w14:solidFill>
              <w14:srgbClr w14:val="000000"/>
            </w14:solidFill>
          </w14:textFill>
        </w:rPr>
        <w:t xml:space="preserve">industry status </w:t>
      </w:r>
      <w:r>
        <w:rPr>
          <w:rFonts w:ascii="Arial" w:hAnsi="Arial"/>
          <w:outline w:val="0"/>
          <w:color w:val="000000"/>
          <w:sz w:val="20"/>
          <w:szCs w:val="20"/>
          <w:u w:color="000000"/>
          <w:rtl w:val="0"/>
          <w:lang w:val="en-US"/>
          <w14:textFill>
            <w14:solidFill>
              <w14:srgbClr w14:val="000000"/>
            </w14:solidFill>
          </w14:textFill>
        </w:rPr>
        <w:t xml:space="preserve">quo. </w:t>
      </w:r>
      <w:r>
        <w:rPr>
          <w:rFonts w:ascii="Arial" w:hAnsi="Arial"/>
          <w:outline w:val="0"/>
          <w:color w:val="000000"/>
          <w:sz w:val="20"/>
          <w:szCs w:val="20"/>
          <w:u w:color="000000"/>
          <w:rtl w:val="0"/>
          <w:lang w:val="en-US"/>
          <w14:textFill>
            <w14:solidFill>
              <w14:srgbClr w14:val="000000"/>
            </w14:solidFill>
          </w14:textFill>
        </w:rPr>
        <w:t>Only 2%</w:t>
      </w:r>
      <w:r>
        <w:rPr>
          <w:rFonts w:ascii="Arial" w:hAnsi="Arial"/>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 xml:space="preserve">of eligible forestry jobs are </w:t>
      </w:r>
      <w:r>
        <w:rPr>
          <w:rFonts w:ascii="Arial" w:hAnsi="Arial"/>
          <w:outline w:val="0"/>
          <w:color w:val="000000"/>
          <w:sz w:val="20"/>
          <w:szCs w:val="20"/>
          <w:u w:color="000000"/>
          <w:rtl w:val="0"/>
          <w:lang w:val="en-US"/>
          <w14:textFill>
            <w14:solidFill>
              <w14:srgbClr w14:val="000000"/>
            </w14:solidFill>
          </w14:textFill>
        </w:rPr>
        <w:t xml:space="preserve">filled </w:t>
      </w:r>
      <w:r>
        <w:rPr>
          <w:rFonts w:ascii="Arial" w:hAnsi="Arial"/>
          <w:outline w:val="0"/>
          <w:color w:val="000000"/>
          <w:sz w:val="20"/>
          <w:szCs w:val="20"/>
          <w:u w:color="000000"/>
          <w:rtl w:val="0"/>
          <w:lang w:val="en-US"/>
          <w14:textFill>
            <w14:solidFill>
              <w14:srgbClr w14:val="000000"/>
            </w14:solidFill>
          </w14:textFill>
        </w:rPr>
        <w:t>by US workers</w:t>
      </w:r>
      <w:r>
        <w:rPr>
          <w:rFonts w:ascii="Arial" w:hAnsi="Arial"/>
          <w:outline w:val="0"/>
          <w:color w:val="000000"/>
          <w:sz w:val="20"/>
          <w:szCs w:val="20"/>
          <w:u w:color="000000"/>
          <w:rtl w:val="0"/>
          <w:lang w:val="en-US"/>
          <w14:textFill>
            <w14:solidFill>
              <w14:srgbClr w14:val="000000"/>
            </w14:solidFill>
          </w14:textFill>
        </w:rPr>
        <w:t xml:space="preserve">, </w:t>
      </w:r>
      <w:r>
        <w:rPr>
          <w:rFonts w:ascii="Arial" w:hAnsi="Arial"/>
          <w:outline w:val="0"/>
          <w:color w:val="000000"/>
          <w:sz w:val="20"/>
          <w:szCs w:val="20"/>
          <w:u w:color="000000"/>
          <w:rtl w:val="0"/>
          <w:lang w:val="en-US"/>
          <w14:textFill>
            <w14:solidFill>
              <w14:srgbClr w14:val="000000"/>
            </w14:solidFill>
          </w14:textFill>
        </w:rPr>
        <w:t xml:space="preserve">and as is, there is a 3 to 5 year backlog for reforestation and replanting on federal lands due to lack of </w:t>
      </w:r>
      <w:r>
        <w:rPr>
          <w:rFonts w:ascii="Arial" w:hAnsi="Arial"/>
          <w:outline w:val="0"/>
          <w:color w:val="000000"/>
          <w:sz w:val="20"/>
          <w:szCs w:val="20"/>
          <w:u w:color="000000"/>
          <w:rtl w:val="0"/>
          <w:lang w:val="en-US"/>
          <w14:textFill>
            <w14:solidFill>
              <w14:srgbClr w14:val="000000"/>
            </w14:solidFill>
          </w14:textFill>
        </w:rPr>
        <w:t xml:space="preserve">sufficient </w:t>
      </w:r>
      <w:r>
        <w:rPr>
          <w:rFonts w:ascii="Arial" w:hAnsi="Arial"/>
          <w:outline w:val="0"/>
          <w:color w:val="000000"/>
          <w:sz w:val="20"/>
          <w:szCs w:val="20"/>
          <w:u w:color="000000"/>
          <w:rtl w:val="0"/>
          <w:lang w:val="en-US"/>
          <w14:textFill>
            <w14:solidFill>
              <w14:srgbClr w14:val="000000"/>
            </w14:solidFill>
          </w14:textFill>
        </w:rPr>
        <w:t>workers. The job opportunities have been there, but US workers have not been filling them.</w:t>
      </w:r>
    </w:p>
    <w:p>
      <w:pPr>
        <w:pStyle w:val="Body"/>
        <w:bidi w:val="0"/>
        <w:ind w:left="0" w:right="0" w:firstLine="0"/>
        <w:jc w:val="left"/>
        <w:rPr>
          <w:rFonts w:ascii="Helvetica Neue" w:cs="Helvetica Neue" w:hAnsi="Helvetica Neue" w:eastAsia="Helvetica Neue"/>
          <w:rtl w:val="0"/>
        </w:rPr>
      </w:pP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VI.  Argument 4 </w:t>
      </w:r>
      <w:r>
        <w:rPr>
          <w:rtl w:val="0"/>
          <w:lang w:val="en-US"/>
        </w:rPr>
        <w:t xml:space="preserve">— </w:t>
      </w:r>
      <w:r>
        <w:rPr>
          <w:rtl w:val="0"/>
          <w:lang w:val="en-US"/>
        </w:rPr>
        <w:t>The Wildfire Justification Contradicts Peer-Reviewed Science</w:t>
      </w:r>
    </w:p>
    <w:p>
      <w:pPr>
        <w:pStyle w:val="Heading 2"/>
      </w:pPr>
      <w:r>
        <w:rPr>
          <w:rtl w:val="0"/>
        </w:rPr>
        <w:t xml:space="preserve">A.  </w:t>
      </w:r>
      <w:r>
        <w:rPr>
          <w:rtl w:val="0"/>
          <w:lang w:val="en-US"/>
        </w:rPr>
        <w:t>Coastal</w:t>
      </w:r>
      <w:r>
        <w:rPr>
          <w:rtl w:val="0"/>
          <w:lang w:val="en-US"/>
        </w:rPr>
        <w:t xml:space="preserve"> Oregon Moist Forests Are Naturally Fire-Resistant</w:t>
      </w:r>
    </w:p>
    <w:p>
      <w:pPr>
        <w:pStyle w:val="Body"/>
        <w:spacing w:before="80" w:after="80"/>
      </w:pPr>
      <w:r>
        <w:rPr>
          <w:outline w:val="0"/>
          <w:color w:val="1c1a16"/>
          <w:u w:color="1c1a16"/>
          <w:rtl w:val="0"/>
          <w:lang w:val="en-US"/>
          <w14:textFill>
            <w14:solidFill>
              <w14:srgbClr w14:val="1C1A16"/>
            </w14:solidFill>
          </w14:textFill>
        </w:rPr>
        <w:t>The BLM planning area</w:t>
      </w:r>
      <w:r>
        <w:rPr>
          <w:outline w:val="0"/>
          <w:color w:val="1c1a16"/>
          <w:u w:color="1c1a16"/>
          <w:rtl w:val="0"/>
          <w:lang w:val="en-US"/>
          <w14:textFill>
            <w14:solidFill>
              <w14:srgbClr w14:val="1C1A16"/>
            </w14:solidFill>
          </w14:textFill>
        </w:rPr>
        <w:t xml:space="preserve"> includes a large</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amount of </w:t>
      </w:r>
      <w:r>
        <w:rPr>
          <w:outline w:val="0"/>
          <w:color w:val="1c1a16"/>
          <w:u w:color="1c1a16"/>
          <w:rtl w:val="0"/>
          <w:lang w:val="en-US"/>
          <w14:textFill>
            <w14:solidFill>
              <w14:srgbClr w14:val="1C1A16"/>
            </w14:solidFill>
          </w14:textFill>
        </w:rPr>
        <w:t xml:space="preserve">moist and wet forest types characteristic of the </w:t>
      </w:r>
      <w:r>
        <w:rPr>
          <w:outline w:val="0"/>
          <w:color w:val="1c1a16"/>
          <w:u w:color="1c1a16"/>
          <w:rtl w:val="0"/>
          <w:lang w:val="en-US"/>
          <w14:textFill>
            <w14:solidFill>
              <w14:srgbClr w14:val="1C1A16"/>
            </w14:solidFill>
          </w14:textFill>
        </w:rPr>
        <w:t xml:space="preserve">western slopes of the </w:t>
      </w:r>
      <w:r>
        <w:rPr>
          <w:outline w:val="0"/>
          <w:color w:val="1c1a16"/>
          <w:u w:color="1c1a16"/>
          <w:rtl w:val="0"/>
          <w:lang w:val="en-US"/>
          <w14:textFill>
            <w14:solidFill>
              <w14:srgbClr w14:val="1C1A16"/>
            </w14:solidFill>
          </w14:textFill>
        </w:rPr>
        <w:t>Oregon Coast Range</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forests with annual precipitation often exceeding 80 to 100 inches. These are among the most fire-resistant ecosystems in North America. Chuck Willer</w:t>
      </w:r>
      <w:r>
        <w:rPr>
          <w:outline w:val="0"/>
          <w:color w:val="1c1a16"/>
          <w:u w:color="1c1a16"/>
          <w:rtl w:val="1"/>
          <w14:textFill>
            <w14:solidFill>
              <w14:srgbClr w14:val="1C1A16"/>
            </w14:solidFill>
          </w14:textFill>
        </w:rPr>
        <w:t>’</w:t>
      </w:r>
      <w:r>
        <w:rPr>
          <w:outline w:val="0"/>
          <w:color w:val="1c1a16"/>
          <w:u w:color="1c1a16"/>
          <w:rtl w:val="0"/>
          <w14:textFill>
            <w14:solidFill>
              <w14:srgbClr w14:val="1C1A16"/>
            </w14:solidFill>
          </w14:textFill>
        </w:rPr>
        <w:t xml:space="preserve">s </w:t>
      </w:r>
      <w:r>
        <w:rPr>
          <w:outline w:val="0"/>
          <w:color w:val="1c1a16"/>
          <w:u w:color="1c1a16"/>
          <w:rtl w:val="0"/>
          <w:lang w:val="en-US"/>
          <w14:textFill>
            <w14:solidFill>
              <w14:srgbClr w14:val="1C1A16"/>
            </w14:solidFill>
          </w14:textFill>
        </w:rPr>
        <w:t xml:space="preserve">detailed </w:t>
      </w:r>
      <w:r>
        <w:rPr>
          <w:outline w:val="0"/>
          <w:color w:val="1c1a16"/>
          <w:u w:color="1c1a16"/>
          <w:rtl w:val="0"/>
          <w:lang w:val="en-US"/>
          <w14:textFill>
            <w14:solidFill>
              <w14:srgbClr w14:val="1C1A16"/>
            </w14:solidFill>
          </w14:textFill>
        </w:rPr>
        <w:t xml:space="preserve">analysis, submitted on behalf of the Coast Range Association (CRA) during the Northwest Forest Plan (NWFP) </w:t>
      </w:r>
      <w:r>
        <w:rPr>
          <w:outline w:val="0"/>
          <w:color w:val="1c1a16"/>
          <w:u w:color="1c1a16"/>
          <w:rtl w:val="0"/>
          <w:lang w:val="en-US"/>
          <w14:textFill>
            <w14:solidFill>
              <w14:srgbClr w14:val="1C1A16"/>
            </w14:solidFill>
          </w14:textFill>
        </w:rPr>
        <w:t xml:space="preserve">EIS </w:t>
      </w:r>
      <w:r>
        <w:rPr>
          <w:outline w:val="0"/>
          <w:color w:val="1c1a16"/>
          <w:u w:color="1c1a16"/>
          <w:rtl w:val="0"/>
          <w:lang w:val="en-US"/>
          <w14:textFill>
            <w14:solidFill>
              <w14:srgbClr w14:val="1C1A16"/>
            </w14:solidFill>
          </w14:textFill>
        </w:rPr>
        <w:t xml:space="preserve">process, documents the natural fire resistance of these </w:t>
      </w:r>
      <w:r>
        <w:rPr>
          <w:outline w:val="0"/>
          <w:color w:val="1c1a16"/>
          <w:u w:color="1c1a16"/>
          <w:rtl w:val="0"/>
          <w:lang w:val="en-US"/>
          <w14:textFill>
            <w14:solidFill>
              <w14:srgbClr w14:val="1C1A16"/>
            </w14:solidFill>
          </w14:textFill>
        </w:rPr>
        <w:t>temperate rain</w:t>
      </w:r>
      <w:r>
        <w:rPr>
          <w:outline w:val="0"/>
          <w:color w:val="1c1a16"/>
          <w:u w:color="1c1a16"/>
          <w:rtl w:val="0"/>
          <w:lang w:val="en-US"/>
          <w14:textFill>
            <w14:solidFill>
              <w14:srgbClr w14:val="1C1A16"/>
            </w14:solidFill>
          </w14:textFill>
        </w:rPr>
        <w:t xml:space="preserve"> forest types and concludes that </w:t>
      </w:r>
      <w:r>
        <w:rPr>
          <w:outline w:val="0"/>
          <w:color w:val="1c1a16"/>
          <w:u w:color="1c1a16"/>
          <w:rtl w:val="0"/>
          <w:lang w:val="en-US"/>
          <w14:textFill>
            <w14:solidFill>
              <w14:srgbClr w14:val="1C1A16"/>
            </w14:solidFill>
          </w14:textFill>
        </w:rPr>
        <w:t xml:space="preserve">substantial or </w:t>
      </w:r>
      <w:r>
        <w:rPr>
          <w:outline w:val="0"/>
          <w:color w:val="1c1a16"/>
          <w:u w:color="1c1a16"/>
          <w:rtl w:val="0"/>
          <w:lang w:val="en-US"/>
          <w14:textFill>
            <w14:solidFill>
              <w14:srgbClr w14:val="1C1A16"/>
            </w14:solidFill>
          </w14:textFill>
        </w:rPr>
        <w:t>commercial thinning is not necessary or ecologically appropriate for fire resistance purposes in th</w:t>
      </w:r>
      <w:r>
        <w:rPr>
          <w:outline w:val="0"/>
          <w:color w:val="1c1a16"/>
          <w:u w:color="1c1a16"/>
          <w:rtl w:val="0"/>
          <w:lang w:val="en-US"/>
          <w14:textFill>
            <w14:solidFill>
              <w14:srgbClr w14:val="1C1A16"/>
            </w14:solidFill>
          </w14:textFill>
        </w:rPr>
        <w:t>ese</w:t>
      </w:r>
      <w:r>
        <w:rPr>
          <w:outline w:val="0"/>
          <w:color w:val="1c1a16"/>
          <w:u w:color="1c1a16"/>
          <w:rtl w:val="0"/>
          <w:lang w:val="da-DK"/>
          <w14:textFill>
            <w14:solidFill>
              <w14:srgbClr w14:val="1C1A16"/>
            </w14:solidFill>
          </w14:textFill>
        </w:rPr>
        <w:t xml:space="preserve"> forest</w:t>
      </w:r>
      <w:r>
        <w:rPr>
          <w:outline w:val="0"/>
          <w:color w:val="1c1a16"/>
          <w:u w:color="1c1a16"/>
          <w:rtl w:val="0"/>
          <w:lang w:val="en-US"/>
          <w14:textFill>
            <w14:solidFill>
              <w14:srgbClr w14:val="1C1A16"/>
            </w14:solidFill>
          </w14:textFill>
        </w:rPr>
        <w:t>s , but in fact turns them from fire resistant to fire-prone.</w:t>
      </w:r>
      <w:r>
        <w:rPr>
          <w:outline w:val="0"/>
          <w:color w:val="1c1a16"/>
          <w:u w:color="1c1a16"/>
          <w:rtl w:val="0"/>
          <w:lang w:val="en-US"/>
          <w14:textFill>
            <w14:solidFill>
              <w14:srgbClr w14:val="1C1A16"/>
            </w14:solidFill>
          </w14:textFill>
        </w:rPr>
        <w:t xml:space="preserve"> Further, it opens up the </w:t>
      </w:r>
      <w:r>
        <w:rPr>
          <w:outline w:val="0"/>
          <w:color w:val="1c1a16"/>
          <w:u w:color="1c1a16"/>
          <w:rtl w:val="0"/>
          <w:lang w:val="en-US"/>
          <w14:textFill>
            <w14:solidFill>
              <w14:srgbClr w14:val="1C1A16"/>
            </w14:solidFill>
          </w14:textFill>
        </w:rPr>
        <w:t>critical fog layer</w:t>
      </w:r>
      <w:r>
        <w:rPr>
          <w:outline w:val="0"/>
          <w:color w:val="1c1a16"/>
          <w:u w:color="1c1a16"/>
          <w:rtl w:val="0"/>
          <w14:textFill>
            <w14:solidFill>
              <w14:srgbClr w14:val="1C1A16"/>
            </w14:solidFill>
          </w14:textFill>
        </w:rPr>
        <w:t xml:space="preserve"> trapping</w:t>
      </w:r>
      <w:r>
        <w:rPr>
          <w:outline w:val="0"/>
          <w:color w:val="1c1a16"/>
          <w:u w:color="1c1a16"/>
          <w:rtl w:val="0"/>
          <w:lang w:val="en-US"/>
          <w14:textFill>
            <w14:solidFill>
              <w14:srgbClr w14:val="1C1A16"/>
            </w14:solidFill>
          </w14:textFill>
        </w:rPr>
        <w:t xml:space="preserve"> and moisture producing canopy, leading</w:t>
      </w:r>
      <w:r>
        <w:rPr>
          <w:outline w:val="0"/>
          <w:color w:val="1c1a16"/>
          <w:u w:color="1c1a16"/>
          <w:rtl w:val="0"/>
          <w:lang w:val="en-US"/>
          <w14:textFill>
            <w14:solidFill>
              <w14:srgbClr w14:val="1C1A16"/>
            </w14:solidFill>
          </w14:textFill>
        </w:rPr>
        <w:t xml:space="preserve"> to drying out </w:t>
      </w:r>
      <w:r>
        <w:rPr>
          <w:outline w:val="0"/>
          <w:color w:val="1c1a16"/>
          <w:u w:color="1c1a16"/>
          <w:rtl w:val="0"/>
          <w:lang w:val="en-US"/>
          <w14:textFill>
            <w14:solidFill>
              <w14:srgbClr w14:val="1C1A16"/>
            </w14:solidFill>
          </w14:textFill>
        </w:rPr>
        <w:t>the critical</w:t>
      </w:r>
      <w:r>
        <w:rPr>
          <w:outline w:val="0"/>
          <w:color w:val="1c1a16"/>
          <w:u w:color="1c1a16"/>
          <w:rtl w:val="0"/>
          <w:lang w:val="da-DK"/>
          <w14:textFill>
            <w14:solidFill>
              <w14:srgbClr w14:val="1C1A16"/>
            </w14:solidFill>
          </w14:textFill>
        </w:rPr>
        <w:t xml:space="preserve"> damp fo</w:t>
      </w:r>
      <w:r>
        <w:rPr>
          <w:outline w:val="0"/>
          <w:color w:val="1c1a16"/>
          <w:u w:color="1c1a16"/>
          <w:rtl w:val="0"/>
          <w:lang w:val="en-US"/>
          <w14:textFill>
            <w14:solidFill>
              <w14:srgbClr w14:val="1C1A16"/>
            </w14:solidFill>
          </w14:textFill>
        </w:rPr>
        <w:t xml:space="preserve">rest floor. </w:t>
      </w:r>
      <w:r>
        <w:rPr>
          <w:outline w:val="0"/>
          <w:color w:val="1c1a16"/>
          <w:u w:color="1c1a16"/>
          <w:rtl w:val="0"/>
          <w:lang w:val="en-US"/>
          <w14:textFill>
            <w14:solidFill>
              <w14:srgbClr w14:val="1C1A16"/>
            </w14:solidFill>
          </w14:textFill>
        </w:rPr>
        <w:t xml:space="preserve">Not only </w:t>
      </w:r>
      <w:r>
        <w:rPr>
          <w:outline w:val="0"/>
          <w:color w:val="1c1a16"/>
          <w:u w:color="1c1a16"/>
          <w:rtl w:val="0"/>
          <w:lang w:val="en-US"/>
          <w14:textFill>
            <w14:solidFill>
              <w14:srgbClr w14:val="1C1A16"/>
            </w14:solidFill>
          </w14:textFill>
        </w:rPr>
        <w:t xml:space="preserve">do these forest floors </w:t>
      </w:r>
      <w:r>
        <w:rPr>
          <w:outline w:val="0"/>
          <w:color w:val="1c1a16"/>
          <w:u w:color="1c1a16"/>
          <w:rtl w:val="0"/>
          <w:lang w:val="fr-FR"/>
          <w14:textFill>
            <w14:solidFill>
              <w14:srgbClr w14:val="1C1A16"/>
            </w14:solidFill>
          </w14:textFill>
        </w:rPr>
        <w:t xml:space="preserve">contain </w:t>
      </w:r>
      <w:r>
        <w:rPr>
          <w:outline w:val="0"/>
          <w:color w:val="1c1a16"/>
          <w:u w:color="1c1a16"/>
          <w:rtl w:val="0"/>
          <w:lang w:val="en-US"/>
          <w14:textFill>
            <w14:solidFill>
              <w14:srgbClr w14:val="1C1A16"/>
            </w14:solidFill>
          </w14:textFill>
        </w:rPr>
        <w:t>rich,</w:t>
      </w:r>
      <w:r>
        <w:rPr>
          <w:outline w:val="0"/>
          <w:color w:val="1c1a16"/>
          <w:u w:color="1c1a16"/>
          <w:rtl w:val="0"/>
          <w:lang w:val="fr-FR"/>
          <w14:textFill>
            <w14:solidFill>
              <w14:srgbClr w14:val="1C1A16"/>
            </w14:solidFill>
          </w14:textFill>
        </w:rPr>
        <w:t xml:space="preserve"> moist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water retaining soil</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they also house</w:t>
      </w:r>
      <w:r>
        <w:rPr>
          <w:outline w:val="0"/>
          <w:color w:val="1c1a16"/>
          <w:u w:color="1c1a16"/>
          <w:rtl w:val="0"/>
          <w:lang w:val="en-US"/>
          <w14:textFill>
            <w14:solidFill>
              <w14:srgbClr w14:val="1C1A16"/>
            </w14:solidFill>
          </w14:textFill>
        </w:rPr>
        <w:t xml:space="preserve"> large</w:t>
      </w:r>
      <w:r>
        <w:rPr>
          <w:outline w:val="0"/>
          <w:color w:val="1c1a16"/>
          <w:u w:color="1c1a16"/>
          <w:rtl w:val="0"/>
          <w:lang w:val="en-US"/>
          <w14:textFill>
            <w14:solidFill>
              <w14:srgbClr w14:val="1C1A16"/>
            </w14:solidFill>
          </w14:textFill>
        </w:rPr>
        <w:t xml:space="preserve"> waterlogged </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dead</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trees </w:t>
      </w:r>
      <w:r>
        <w:rPr>
          <w:outline w:val="0"/>
          <w:color w:val="1c1a16"/>
          <w:u w:color="1c1a16"/>
          <w:rtl w:val="0"/>
          <w:lang w:val="en-US"/>
          <w14:textFill>
            <w14:solidFill>
              <w14:srgbClr w14:val="1C1A16"/>
            </w14:solidFill>
          </w14:textFill>
        </w:rPr>
        <w:t xml:space="preserve">which </w:t>
      </w:r>
      <w:r>
        <w:rPr>
          <w:outline w:val="0"/>
          <w:color w:val="1c1a16"/>
          <w:u w:color="1c1a16"/>
          <w:rtl w:val="0"/>
          <w:lang w:val="en-US"/>
          <w14:textFill>
            <w14:solidFill>
              <w14:srgbClr w14:val="1C1A16"/>
            </w14:solidFill>
          </w14:textFill>
        </w:rPr>
        <w:t>continuously feed water back to the ground</w:t>
      </w:r>
      <w:r>
        <w:rPr>
          <w:outline w:val="0"/>
          <w:color w:val="1c1a16"/>
          <w:u w:color="1c1a16"/>
          <w:rtl w:val="0"/>
          <w:lang w:val="en-US"/>
          <w14:textFill>
            <w14:solidFill>
              <w14:srgbClr w14:val="1C1A16"/>
            </w14:solidFill>
          </w14:textFill>
        </w:rPr>
        <w:t>, fungal, plant</w:t>
      </w:r>
      <w:r>
        <w:rPr>
          <w:outline w:val="0"/>
          <w:color w:val="1c1a16"/>
          <w:u w:color="1c1a16"/>
          <w:rtl w:val="0"/>
          <w:lang w:val="en-US"/>
          <w14:textFill>
            <w14:solidFill>
              <w14:srgbClr w14:val="1C1A16"/>
            </w14:solidFill>
          </w14:textFill>
        </w:rPr>
        <w:t xml:space="preserve"> and tree system</w:t>
      </w:r>
      <w:r>
        <w:rPr>
          <w:outline w:val="0"/>
          <w:color w:val="1c1a16"/>
          <w:u w:color="1c1a16"/>
          <w:rtl w:val="0"/>
          <w:lang w:val="en-US"/>
          <w14:textFill>
            <w14:solidFill>
              <w14:srgbClr w14:val="1C1A16"/>
            </w14:solidFill>
          </w14:textFill>
        </w:rPr>
        <w:t xml:space="preserve">, </w:t>
      </w:r>
      <w:r>
        <w:rPr>
          <w:outline w:val="0"/>
          <w:color w:val="1c1a16"/>
          <w:u w:color="1c1a16"/>
          <w:rtl w:val="0"/>
          <w14:textFill>
            <w14:solidFill>
              <w14:srgbClr w14:val="1C1A16"/>
            </w14:solidFill>
          </w14:textFill>
        </w:rPr>
        <w:t>w</w:t>
      </w:r>
      <w:r>
        <w:rPr>
          <w:outline w:val="0"/>
          <w:color w:val="1c1a16"/>
          <w:u w:color="1c1a16"/>
          <w:rtl w:val="0"/>
          <w:lang w:val="en-US"/>
          <w14:textFill>
            <w14:solidFill>
              <w14:srgbClr w14:val="1C1A16"/>
            </w14:solidFill>
          </w14:textFill>
        </w:rPr>
        <w:t xml:space="preserve">hile </w:t>
      </w:r>
      <w:r>
        <w:rPr>
          <w:outline w:val="0"/>
          <w:color w:val="1c1a16"/>
          <w:u w:color="1c1a16"/>
          <w:rtl w:val="0"/>
          <w:lang w:val="en-US"/>
          <w14:textFill>
            <w14:solidFill>
              <w14:srgbClr w14:val="1C1A16"/>
            </w14:solidFill>
          </w14:textFill>
        </w:rPr>
        <w:t xml:space="preserve">also acting as nurse logs for the next generation of </w:t>
      </w:r>
      <w:r>
        <w:rPr>
          <w:outline w:val="0"/>
          <w:color w:val="1c1a16"/>
          <w:u w:color="1c1a16"/>
          <w:rtl w:val="0"/>
          <w:lang w:val="en-US"/>
          <w14:textFill>
            <w14:solidFill>
              <w14:srgbClr w14:val="1C1A16"/>
            </w14:solidFill>
          </w14:textFill>
        </w:rPr>
        <w:t xml:space="preserve">growth. </w:t>
      </w:r>
      <w:r>
        <w:rPr>
          <w:outline w:val="0"/>
          <w:color w:val="1c1a16"/>
          <w:u w:color="1c1a16"/>
          <w:rtl w:val="0"/>
          <w:lang w:val="en-US"/>
          <w14:textFill>
            <w14:solidFill>
              <w14:srgbClr w14:val="1C1A16"/>
            </w14:solidFill>
          </w14:textFill>
        </w:rPr>
        <w:t xml:space="preserve">It is vital to allow </w:t>
      </w:r>
      <w:r>
        <w:rPr>
          <w:outline w:val="0"/>
          <w:color w:val="1c1a16"/>
          <w:u w:color="1c1a16"/>
          <w:rtl w:val="0"/>
          <w:lang w:val="en-US"/>
          <w14:textFill>
            <w14:solidFill>
              <w14:srgbClr w14:val="1C1A16"/>
            </w14:solidFill>
          </w14:textFill>
        </w:rPr>
        <w:t xml:space="preserve">these older natural and  forests to remain intact, and they maintain the overall resistance, resilience and recovery of the rest of the forest, while maintaining a stable water table. </w:t>
      </w:r>
      <w:r>
        <w:rPr>
          <w:outline w:val="0"/>
          <w:color w:val="1c1a16"/>
          <w:u w:color="1c1a16"/>
          <w:rtl w:val="0"/>
          <w:lang w:val="en-US"/>
          <w14:textFill>
            <w14:solidFill>
              <w14:srgbClr w14:val="1C1A16"/>
            </w14:solidFill>
          </w14:textFill>
        </w:rPr>
        <w:t>The</w:t>
      </w:r>
      <w:r>
        <w:rPr>
          <w:outline w:val="0"/>
          <w:color w:val="1c1a16"/>
          <w:u w:color="1c1a16"/>
          <w:rtl w:val="0"/>
          <w:lang w:val="en-US"/>
          <w14:textFill>
            <w14:solidFill>
              <w14:srgbClr w14:val="1C1A16"/>
            </w14:solidFill>
          </w14:textFill>
        </w:rPr>
        <w:t xml:space="preserve"> Draft and </w:t>
      </w:r>
      <w:r>
        <w:rPr>
          <w:outline w:val="0"/>
          <w:color w:val="1c1a16"/>
          <w:u w:color="1c1a16"/>
          <w:rtl w:val="0"/>
          <w:lang w:val="en-US"/>
          <w14:textFill>
            <w14:solidFill>
              <w14:srgbClr w14:val="1C1A16"/>
            </w14:solidFill>
          </w14:textFill>
        </w:rPr>
        <w:t xml:space="preserve"> EIS must engage directly with this analysis</w:t>
      </w:r>
      <w:r>
        <w:rPr>
          <w:outline w:val="0"/>
          <w:color w:val="1c1a16"/>
          <w:u w:color="1c1a16"/>
          <w:rtl w:val="0"/>
          <w:lang w:val="en-US"/>
          <w14:textFill>
            <w14:solidFill>
              <w14:srgbClr w14:val="1C1A16"/>
            </w14:solidFill>
          </w14:textFill>
        </w:rPr>
        <w:t xml:space="preserve">, as it is the most detailed and accurate with relation to these unique forest ecosystems. </w:t>
      </w:r>
    </w:p>
    <w:p>
      <w:pPr>
        <w:pStyle w:val="Heading 2"/>
      </w:pPr>
      <w:r>
        <w:rPr>
          <w:rtl w:val="0"/>
          <w:lang w:val="en-US"/>
        </w:rPr>
        <w:t>B.  Logged Areas Burn More Severely Than Intact Forest</w:t>
      </w:r>
    </w:p>
    <w:p>
      <w:pPr>
        <w:pStyle w:val="Body"/>
        <w:spacing w:before="80" w:after="80"/>
      </w:pPr>
      <w:r>
        <w:rPr>
          <w:outline w:val="0"/>
          <w:color w:val="1c1a16"/>
          <w:u w:color="1c1a16"/>
          <w:rtl w:val="0"/>
          <w:lang w:val="en-US"/>
          <w14:textFill>
            <w14:solidFill>
              <w14:srgbClr w14:val="1C1A16"/>
            </w14:solidFill>
          </w14:textFill>
        </w:rPr>
        <w:t>Peer-reviewed research by Dr. Chad Hanson (2021), Rhodes and Baker (2008), and DellaSalla and Hanson (2019) documents that recently logged areas burn more severely than intact mature or Mature and Old-Growth forest. The mechanisms are well-established: removal of large fire-resistant trees; creation of wind tunnels through loss of windbreak canopy; accumulation of logging slash as dense surface fuel; herbicide-killed broadleaf plants becoming dry fuels, disrupting moisture holding and producing older tree stands- causing the soil and surrounding air to heat up measurably, and exposure of mineral soil that dries rapidly. And very importantly, the multiple published studies on the higher probability of wildfires starting near roads is impossible to ignore. The USFS recently published these same findings, that a vast majority of wildfires start near logging roads due to human activity. The BLM</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 xml:space="preserve">s assertion that commercial forest harvest will reduce wildfire risk inverts the </w:t>
      </w:r>
      <w:r>
        <w:rPr>
          <w:outline w:val="0"/>
          <w:color w:val="1c1a16"/>
          <w:u w:color="1c1a16"/>
          <w:rtl w:val="0"/>
          <w:lang w:val="en-US"/>
          <w14:textFill>
            <w14:solidFill>
              <w14:srgbClr w14:val="1C1A16"/>
            </w14:solidFill>
          </w14:textFill>
        </w:rPr>
        <w:t xml:space="preserve">multitude of research documents, </w:t>
      </w:r>
      <w:r>
        <w:rPr>
          <w:outline w:val="0"/>
          <w:color w:val="1c1a16"/>
          <w:u w:color="1c1a16"/>
          <w:rtl w:val="0"/>
          <w:lang w:val="en-US"/>
          <w14:textFill>
            <w14:solidFill>
              <w14:srgbClr w14:val="1C1A16"/>
            </w14:solidFill>
          </w14:textFill>
        </w:rPr>
        <w:t>peer-reviewed scientific and agency evidence.</w:t>
      </w:r>
    </w:p>
    <w:p>
      <w:pPr>
        <w:pStyle w:val="Heading 2"/>
      </w:pPr>
      <w:r>
        <w:rPr>
          <w:rtl w:val="0"/>
          <w:lang w:val="en-US"/>
        </w:rPr>
        <w:t xml:space="preserve">C.  Home Hardening Protects Structures </w:t>
      </w:r>
      <w:r>
        <w:rPr>
          <w:rtl w:val="0"/>
          <w:lang w:val="en-US"/>
        </w:rPr>
        <w:t xml:space="preserve">— </w:t>
      </w:r>
      <w:r>
        <w:rPr>
          <w:rtl w:val="0"/>
          <w:lang w:val="en-US"/>
        </w:rPr>
        <w:t>Not Logging</w:t>
      </w:r>
    </w:p>
    <w:p>
      <w:pPr>
        <w:pStyle w:val="Body"/>
        <w:spacing w:before="80" w:after="80"/>
      </w:pPr>
      <w:r>
        <w:rPr>
          <w:outline w:val="0"/>
          <w:color w:val="1c1a16"/>
          <w:u w:color="1c1a16"/>
          <w:rtl w:val="0"/>
          <w:lang w:val="en-US"/>
          <w14:textFill>
            <w14:solidFill>
              <w14:srgbClr w14:val="1C1A16"/>
            </w14:solidFill>
          </w14:textFill>
        </w:rPr>
        <w:t>The Insurance Institute for Business and Home Safety (IBHS) documents that ember-resistant structural modifications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Class A roofing, ember-resistant vents, five-foot non-combustible zones around structures</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are the most effective interventions for reducing structure loss in wildfire. The EIS should analyze these community protection measures alongside forest management alternatives.</w:t>
      </w:r>
    </w:p>
    <w:p>
      <w:pPr>
        <w:pStyle w:val="Body"/>
        <w:pBdr>
          <w:top w:val="single" w:color="40916c" w:sz="8" w:space="0" w:shadow="0" w:frame="0"/>
          <w:left w:val="single" w:color="40916c" w:sz="8" w:space="0" w:shadow="0" w:frame="0"/>
          <w:bottom w:val="nil"/>
          <w:right w:val="single" w:color="40916c" w:sz="8" w:space="0" w:shadow="0" w:frame="0"/>
        </w:pBdr>
        <w:shd w:val="clear" w:color="auto" w:fill="eef7f3"/>
        <w:spacing w:before="200"/>
        <w:ind w:left="180" w:right="180" w:firstLine="0"/>
      </w:pPr>
      <w:r>
        <w:rPr>
          <w:b w:val="1"/>
          <w:bCs w:val="1"/>
          <w:outline w:val="0"/>
          <w:color w:val="1a3d2b"/>
          <w:sz w:val="23"/>
          <w:szCs w:val="23"/>
          <w:u w:color="1a3d2b"/>
          <w:rtl w:val="0"/>
          <w:lang w:val="en-US"/>
          <w14:textFill>
            <w14:solidFill>
              <w14:srgbClr w14:val="1A3D2B"/>
            </w14:solidFill>
          </w14:textFill>
        </w:rPr>
        <w:t>Key Research the EIS Must Engage</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i w:val="1"/>
          <w:iCs w:val="1"/>
          <w:outline w:val="0"/>
          <w:color w:val="1c1a16"/>
          <w:sz w:val="21"/>
          <w:szCs w:val="21"/>
          <w:u w:color="1c1a16"/>
          <w:rtl w:val="0"/>
          <w:lang w:val="en-US"/>
          <w14:textFill>
            <w14:solidFill>
              <w14:srgbClr w14:val="1C1A16"/>
            </w14:solidFill>
          </w14:textFill>
        </w:rPr>
        <w:t xml:space="preserve">Hanson, C.T. (2021): The Myth of 'Catastrophic' Wildfire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John Muir Project Technical Report</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i w:val="1"/>
          <w:iCs w:val="1"/>
          <w:outline w:val="0"/>
          <w:color w:val="1c1a16"/>
          <w:sz w:val="21"/>
          <w:szCs w:val="21"/>
          <w:u w:color="1c1a16"/>
          <w:rtl w:val="0"/>
          <w:lang w:val="en-US"/>
          <w14:textFill>
            <w14:solidFill>
              <w14:srgbClr w14:val="1C1A16"/>
            </w14:solidFill>
          </w14:textFill>
        </w:rPr>
        <w:t xml:space="preserve">DellaSalla, D.A. &amp; Hanson, C.T. (Eds.) (2019): The Ecological Importance of Mixed-Severity Fires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s-ES_tradnl"/>
          <w14:textFill>
            <w14:solidFill>
              <w14:srgbClr w14:val="1C1A16"/>
            </w14:solidFill>
          </w14:textFill>
        </w:rPr>
        <w:t>Elsevier</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i w:val="1"/>
          <w:iCs w:val="1"/>
          <w:outline w:val="0"/>
          <w:color w:val="1c1a16"/>
          <w:sz w:val="21"/>
          <w:szCs w:val="21"/>
          <w:u w:color="1c1a16"/>
          <w:rtl w:val="0"/>
          <w:lang w:val="en-US"/>
          <w14:textFill>
            <w14:solidFill>
              <w14:srgbClr w14:val="1C1A16"/>
            </w14:solidFill>
          </w14:textFill>
        </w:rPr>
        <w:t xml:space="preserve">Rhodes, J.J. &amp; Baker, W.L. (2008): Fire probability, fuel treatment effectiveness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Open Forest Science Journal</w:t>
      </w:r>
    </w:p>
    <w:p>
      <w:pPr>
        <w:pStyle w:val="Body"/>
        <w:pBdr>
          <w:top w:val="nil"/>
          <w:left w:val="single" w:color="40916c" w:sz="8" w:space="0" w:shadow="0" w:frame="0"/>
          <w:bottom w:val="single" w:color="40916c" w:sz="8" w:space="0" w:shadow="0" w:frame="0"/>
          <w:right w:val="single" w:color="40916c" w:sz="8" w:space="0" w:shadow="0" w:frame="0"/>
        </w:pBdr>
        <w:shd w:val="clear" w:color="auto" w:fill="eef7f3"/>
        <w:spacing w:after="200"/>
        <w:ind w:left="180" w:right="180" w:firstLine="0"/>
      </w:pPr>
      <w:r>
        <w:rPr>
          <w:i w:val="1"/>
          <w:iCs w:val="1"/>
          <w:outline w:val="0"/>
          <w:color w:val="1c1a16"/>
          <w:sz w:val="21"/>
          <w:szCs w:val="21"/>
          <w:u w:color="1c1a16"/>
          <w:rtl w:val="0"/>
          <w:lang w:val="da-DK"/>
          <w14:textFill>
            <w14:solidFill>
              <w14:srgbClr w14:val="1C1A16"/>
            </w14:solidFill>
          </w14:textFill>
        </w:rPr>
        <w:t xml:space="preserve">Willer, C.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Coast Range Association NWFP submission on moist forest fire resistance and resilience</w:t>
      </w:r>
      <w:r>
        <w:rPr>
          <w:i w:val="1"/>
          <w:iCs w:val="1"/>
          <w:outline w:val="0"/>
          <w:color w:val="1c1a16"/>
          <w:sz w:val="21"/>
          <w:szCs w:val="21"/>
          <w:u w:color="1c1a16"/>
          <w:rtl w:val="0"/>
          <w:lang w:val="en-US"/>
          <w14:textFill>
            <w14:solidFill>
              <w14:srgbClr w14:val="1C1A16"/>
            </w14:solidFill>
          </w14:textFill>
        </w:rPr>
        <w:t xml:space="preserve"> (see attachment)</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VII.  Argument 5 </w:t>
      </w:r>
      <w:r>
        <w:rPr>
          <w:rtl w:val="0"/>
          <w:lang w:val="en-US"/>
        </w:rPr>
        <w:t xml:space="preserve">— </w:t>
      </w:r>
      <w:r>
        <w:rPr>
          <w:rtl w:val="0"/>
          <w:lang w:val="en-US"/>
        </w:rPr>
        <w:t>Proposed Harvest Scale and Slash Burning Create New Hazards</w:t>
      </w:r>
    </w:p>
    <w:p>
      <w:pPr>
        <w:pStyle w:val="Heading 2"/>
      </w:pPr>
      <w:r>
        <w:rPr>
          <w:rtl w:val="0"/>
          <w:lang w:val="en-US"/>
        </w:rPr>
        <w:t>A.  Large-Scale Operations Create Disproportionate Watershed Impacts</w:t>
      </w:r>
    </w:p>
    <w:p>
      <w:pPr>
        <w:pStyle w:val="Body"/>
        <w:spacing w:before="80" w:after="80"/>
      </w:pPr>
      <w:r>
        <w:rPr>
          <w:outline w:val="0"/>
          <w:color w:val="1c1a16"/>
          <w:u w:color="1c1a16"/>
          <w:rtl w:val="0"/>
          <w:lang w:val="en-US"/>
          <w14:textFill>
            <w14:solidFill>
              <w14:srgbClr w14:val="1C1A16"/>
            </w14:solidFill>
          </w14:textFill>
        </w:rPr>
        <w:t>The Notice of Intent references management approaches at scales potentially involving thousands of acres in single operations. Watershed-scale removal of forest canopy concentrates precipitation impacts, increases peak flows and erosion, and raises stream temperatures across entire drainage systems. Large contiguous clearcuts eliminate movement corridors for much of our wildlife and forest-dependent vertebrates across landscape scales. Multiple large slash pile burns in close proximity create</w:t>
      </w:r>
      <w:r>
        <w:rPr>
          <w:outline w:val="0"/>
          <w:color w:val="1c1a16"/>
          <w:u w:color="1c1a16"/>
          <w:rtl w:val="0"/>
          <w:lang w:val="en-US"/>
          <w14:textFill>
            <w14:solidFill>
              <w14:srgbClr w14:val="1C1A16"/>
            </w14:solidFill>
          </w14:textFill>
        </w:rPr>
        <w:t xml:space="preserve"> heated and dead soils and</w:t>
      </w:r>
      <w:r>
        <w:rPr>
          <w:outline w:val="0"/>
          <w:color w:val="1c1a16"/>
          <w:u w:color="1c1a16"/>
          <w:rtl w:val="0"/>
          <w:lang w:val="en-US"/>
          <w14:textFill>
            <w14:solidFill>
              <w14:srgbClr w14:val="1C1A16"/>
            </w14:solidFill>
          </w14:textFill>
        </w:rPr>
        <w:t xml:space="preserve"> cumulative air quality impacts that exceed what individual events suggest, particularly in coastal valleys with limited airshed dispersion capacity. They also increase the risk of wildfire ignition and spread.</w:t>
      </w:r>
    </w:p>
    <w:p>
      <w:pPr>
        <w:pStyle w:val="Heading 2"/>
      </w:pPr>
      <w:r>
        <w:rPr>
          <w:rtl w:val="0"/>
          <w:lang w:val="en-US"/>
        </w:rPr>
        <w:t>B.  Slash Pile Burning Poses Documented Air Quality and Health Risks</w:t>
      </w:r>
    </w:p>
    <w:p>
      <w:pPr>
        <w:pStyle w:val="Body"/>
        <w:spacing w:before="80" w:after="80"/>
      </w:pPr>
      <w:r>
        <w:rPr>
          <w:outline w:val="0"/>
          <w:color w:val="1c1a16"/>
          <w:u w:color="1c1a16"/>
          <w:rtl w:val="0"/>
          <w:lang w:val="en-US"/>
          <w14:textFill>
            <w14:solidFill>
              <w14:srgbClr w14:val="1C1A16"/>
            </w14:solidFill>
          </w14:textFill>
        </w:rPr>
        <w:t>Post-clearcut slash burning produces dense concentrations of PM2.5 (fine particulate matter) and PM10 particulate emissions along with carbon monoxide, nitrogen oxides, and volatile organic compounds. Oregon Department of Environmental Quality (DEQ) air-shed monitoring in Lincoln County documents that slash burning events produce air quality violations that affect residents of Coastal Oregon and surrounding communities. The EIS must model cumulative air quality impacts from the proposed scale of harvest-related slash burning and must demonstrate compliance with the Clean Air Act and Oregon ambient air quality standards.</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VIII.  Argument 6 </w:t>
      </w:r>
      <w:r>
        <w:rPr>
          <w:rtl w:val="0"/>
          <w:lang w:val="en-US"/>
        </w:rPr>
        <w:t xml:space="preserve">— </w:t>
      </w:r>
      <w:r>
        <w:rPr>
          <w:rtl w:val="0"/>
          <w:lang w:val="en-US"/>
        </w:rPr>
        <w:t>Herbicide Use at Expanded Scale Poses Documented Community Risk</w:t>
      </w:r>
    </w:p>
    <w:p>
      <w:pPr>
        <w:pStyle w:val="Heading 2"/>
      </w:pPr>
      <w:r>
        <w:rPr>
          <w:rtl w:val="0"/>
          <w:lang w:val="en-US"/>
        </w:rPr>
        <w:t>A.  The Alsea History Establishes a Community Right to Full Disclosure</w:t>
      </w:r>
    </w:p>
    <w:p>
      <w:pPr>
        <w:pStyle w:val="Body"/>
        <w:spacing w:before="80" w:after="80"/>
      </w:pPr>
      <w:r>
        <w:rPr>
          <w:outline w:val="0"/>
          <w:color w:val="1c1a16"/>
          <w:u w:color="1c1a16"/>
          <w:rtl w:val="0"/>
          <w:lang w:val="en-US"/>
          <w14:textFill>
            <w14:solidFill>
              <w14:srgbClr w14:val="1C1A16"/>
            </w14:solidFill>
          </w14:textFill>
        </w:rPr>
        <w:t xml:space="preserve">Western Oregon communities have direct, documented, and legally adjudicated experience with the health consequences of aerial herbicide spraying on federal forest lands. Beginning in the late 1960s, the USFS and BLM applied 2,4,5-T </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a component of Agent Orange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aerially on western Oregon timber lands. Women living near Alsea, Oregon documented a cluster of miscarriages, birth defects, and livestock deaths linked to aerial spraying. A long investigation and federal lawsuit led to the EPA</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emergency suspension of 2,4,5-T in 1979 and its full cancellation in 1985. This history is documented in Carol Van Strum</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 xml:space="preserve">s book </w:t>
      </w:r>
      <w:r>
        <w:rPr>
          <w:outline w:val="0"/>
          <w:color w:val="1c1a16"/>
          <w:u w:color="1c1a16"/>
          <w:rtl w:val="1"/>
          <w:lang w:val="ar-SA" w:bidi="ar-SA"/>
          <w14:textFill>
            <w14:solidFill>
              <w14:srgbClr w14:val="1C1A16"/>
            </w14:solidFill>
          </w14:textFill>
        </w:rPr>
        <w:t>“</w:t>
      </w:r>
      <w:r>
        <w:rPr>
          <w:outline w:val="0"/>
          <w:color w:val="1c1a16"/>
          <w:u w:color="1c1a16"/>
          <w:rtl w:val="0"/>
          <w:lang w:val="de-DE"/>
          <w14:textFill>
            <w14:solidFill>
              <w14:srgbClr w14:val="1C1A16"/>
            </w14:solidFill>
          </w14:textFill>
        </w:rPr>
        <w:t>A Bitter Fog</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(1983) and the documentary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The People vs. Agent Orange.</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The BLM has an obligation to engage directly with this history in its public health analysis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and guarantee that this type of history will not repeat </w:t>
      </w:r>
      <w:r>
        <w:rPr>
          <w:outline w:val="0"/>
          <w:color w:val="1c1a16"/>
          <w:u w:color="1c1a16"/>
          <w:rtl w:val="0"/>
          <w:lang w:val="en-US"/>
          <w14:textFill>
            <w14:solidFill>
              <w14:srgbClr w14:val="1C1A16"/>
            </w14:solidFill>
          </w14:textFill>
        </w:rPr>
        <w:t>itself.</w:t>
      </w:r>
    </w:p>
    <w:p>
      <w:pPr>
        <w:pStyle w:val="Heading 2"/>
      </w:pPr>
      <w:r>
        <w:rPr>
          <w:rtl w:val="0"/>
          <w:lang w:val="en-US"/>
        </w:rPr>
        <w:t xml:space="preserve">B.  The Oregon Forest Practices Act </w:t>
      </w:r>
      <w:r>
        <w:rPr>
          <w:rtl w:val="1"/>
        </w:rPr>
        <w:t>‘</w:t>
      </w:r>
      <w:r>
        <w:rPr>
          <w:rtl w:val="0"/>
          <w:lang w:val="en-US"/>
        </w:rPr>
        <w:t>Free to Grow</w:t>
      </w:r>
      <w:r>
        <w:rPr>
          <w:rtl w:val="1"/>
        </w:rPr>
        <w:t xml:space="preserve">’ </w:t>
      </w:r>
      <w:r>
        <w:rPr>
          <w:rtl w:val="0"/>
          <w:lang w:val="en-US"/>
        </w:rPr>
        <w:t>Requirement Drives Herbicide Use</w:t>
      </w:r>
    </w:p>
    <w:p>
      <w:pPr>
        <w:pStyle w:val="Body"/>
        <w:spacing w:before="80" w:after="80"/>
      </w:pPr>
      <w:r>
        <w:rPr>
          <w:outline w:val="0"/>
          <w:color w:val="1c1a16"/>
          <w:u w:color="1c1a16"/>
          <w:rtl w:val="0"/>
          <w:lang w:val="nl-NL"/>
          <w14:textFill>
            <w14:solidFill>
              <w14:srgbClr w14:val="1C1A16"/>
            </w14:solidFill>
          </w14:textFill>
        </w:rPr>
        <w:t>Oregon</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 xml:space="preserve">s Forest Practices Act requires replanted stands to achieve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free to grow</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status within four years of planting </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driving mass application of glyphosate, atrazine, 2,4-D, and related compounds on every replanted clearcut. On federal lands, this practice must be fully disclosed in the EIS. The EIS must evaluate alternatives to chemical vegetation management, including longer rotation periods, mixed-species planting, and manual brush</w:t>
      </w:r>
      <w:r>
        <w:rPr>
          <w:outline w:val="0"/>
          <w:color w:val="1c1a16"/>
          <w:u w:color="1c1a16"/>
          <w:rtl w:val="0"/>
          <w:lang w:val="en-US"/>
          <w14:textFill>
            <w14:solidFill>
              <w14:srgbClr w14:val="1C1A16"/>
            </w14:solidFill>
          </w14:textFill>
        </w:rPr>
        <w:t xml:space="preserve"> removal</w:t>
      </w:r>
      <w:r>
        <w:rPr>
          <w:outline w:val="0"/>
          <w:color w:val="1c1a16"/>
          <w:u w:color="1c1a16"/>
          <w:rtl w:val="0"/>
          <w:lang w:val="en-US"/>
          <w14:textFill>
            <w14:solidFill>
              <w14:srgbClr w14:val="1C1A16"/>
            </w14:solidFill>
          </w14:textFill>
        </w:rPr>
        <w:t xml:space="preserve"> that reduce herbicide dependence.</w:t>
      </w:r>
    </w:p>
    <w:p>
      <w:pPr>
        <w:pStyle w:val="Heading 2"/>
      </w:pPr>
      <w:r>
        <w:rPr>
          <w:rtl w:val="0"/>
          <w:lang w:val="en-US"/>
        </w:rPr>
        <w:t>C.  Current Regulatory Environment Increases Chemical Risk</w:t>
      </w:r>
    </w:p>
    <w:p>
      <w:pPr>
        <w:pStyle w:val="Body"/>
        <w:spacing w:before="80" w:after="80"/>
      </w:pPr>
      <w:r>
        <w:rPr>
          <w:outline w:val="0"/>
          <w:color w:val="1c1a16"/>
          <w:u w:color="1c1a16"/>
          <w:rtl w:val="0"/>
          <w:lang w:val="en-US"/>
          <w14:textFill>
            <w14:solidFill>
              <w14:srgbClr w14:val="1C1A16"/>
            </w14:solidFill>
          </w14:textFill>
        </w:rPr>
        <w:t>Recent Executive Orders have removed key restrictions on glyphosate and other herbicides and weakened EPA oversight. The World Health Organization</w:t>
      </w:r>
      <w:r>
        <w:rPr>
          <w:outline w:val="0"/>
          <w:color w:val="1c1a16"/>
          <w:u w:color="1c1a16"/>
          <w:rtl w:val="1"/>
          <w14:textFill>
            <w14:solidFill>
              <w14:srgbClr w14:val="1C1A16"/>
            </w14:solidFill>
          </w14:textFill>
        </w:rPr>
        <w:t>’</w:t>
      </w:r>
      <w:r>
        <w:rPr>
          <w:outline w:val="0"/>
          <w:color w:val="1c1a16"/>
          <w:u w:color="1c1a16"/>
          <w:rtl w:val="0"/>
          <w:lang w:val="de-DE"/>
          <w14:textFill>
            <w14:solidFill>
              <w14:srgbClr w14:val="1C1A16"/>
            </w14:solidFill>
          </w14:textFill>
        </w:rPr>
        <w:t>s (WHO</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International Agency for Research on Cancer (IARC) classifies glyphosate as a Group 2A probable human carcinogen. Atrazine is an endocrine disruptor banned in the European Union. The EIS must evaluate chemical use risks under the current deregulated environment and must assess cumulative watershed, groundwater, mycorrhizal network, and community health impacts at the proposed expanded harvest scale.</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IX.  Argument 7 </w:t>
      </w:r>
      <w:r>
        <w:rPr>
          <w:rtl w:val="0"/>
          <w:lang w:val="en-US"/>
        </w:rPr>
        <w:t xml:space="preserve">— </w:t>
      </w:r>
      <w:r>
        <w:rPr>
          <w:rtl w:val="0"/>
          <w:lang w:val="en-US"/>
        </w:rPr>
        <w:t>ACEC Reevaluation Must Not Serve as a Harvest-Expansion Mechanism</w:t>
      </w:r>
    </w:p>
    <w:p>
      <w:pPr>
        <w:pStyle w:val="Body"/>
        <w:spacing w:before="80" w:after="80"/>
      </w:pPr>
      <w:r>
        <w:rPr>
          <w:outline w:val="0"/>
          <w:color w:val="1c1a16"/>
          <w:u w:color="1c1a16"/>
          <w:rtl w:val="0"/>
          <w:lang w:val="en-US"/>
          <w14:textFill>
            <w14:solidFill>
              <w14:srgbClr w14:val="1C1A16"/>
            </w14:solidFill>
          </w14:textFill>
        </w:rPr>
        <w:t xml:space="preserve">The Notice of Intent states the BLM will </w:t>
      </w:r>
      <w:r>
        <w:rPr>
          <w:outline w:val="0"/>
          <w:color w:val="1c1a16"/>
          <w:u w:color="1c1a16"/>
          <w:rtl w:val="1"/>
          <w:lang w:val="ar-SA" w:bidi="ar-SA"/>
          <w14:textFill>
            <w14:solidFill>
              <w14:srgbClr w14:val="1C1A16"/>
            </w14:solidFill>
          </w14:textFill>
        </w:rPr>
        <w:t>“</w:t>
      </w:r>
      <w:r>
        <w:rPr>
          <w:outline w:val="0"/>
          <w:color w:val="1c1a16"/>
          <w:u w:color="1c1a16"/>
          <w:rtl w:val="0"/>
          <w14:textFill>
            <w14:solidFill>
              <w14:srgbClr w14:val="1C1A16"/>
            </w14:solidFill>
          </w14:textFill>
        </w:rPr>
        <w:t>reevaluate</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all 103 currently designated Areas of Critical Environmental Concern (ACECs) in the planning area. FLPMA (Federal Land Policy and Management Act) (43 U.S.C. </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1711) requires BLM to give </w:t>
      </w:r>
      <w:r>
        <w:rPr>
          <w:outline w:val="0"/>
          <w:color w:val="1c1a16"/>
          <w:u w:color="1c1a16"/>
          <w:rtl w:val="1"/>
          <w:lang w:val="ar-SA" w:bidi="ar-SA"/>
          <w14:textFill>
            <w14:solidFill>
              <w14:srgbClr w14:val="1C1A16"/>
            </w14:solidFill>
          </w14:textFill>
        </w:rPr>
        <w:t>“</w:t>
      </w:r>
      <w:r>
        <w:rPr>
          <w:outline w:val="0"/>
          <w:color w:val="1c1a16"/>
          <w:u w:color="1c1a16"/>
          <w:rtl w:val="0"/>
          <w:lang w:val="en-US"/>
          <w14:textFill>
            <w14:solidFill>
              <w14:srgbClr w14:val="1C1A16"/>
            </w14:solidFill>
          </w14:textFill>
        </w:rPr>
        <w:t>priority</w:t>
      </w:r>
      <w:r>
        <w:rPr>
          <w:outline w:val="0"/>
          <w:color w:val="1c1a16"/>
          <w:u w:color="1c1a16"/>
          <w:rtl w:val="0"/>
          <w14:textFill>
            <w14:solidFill>
              <w14:srgbClr w14:val="1C1A16"/>
            </w14:solidFill>
          </w14:textFill>
        </w:rPr>
        <w:t xml:space="preserve">” </w:t>
      </w:r>
      <w:r>
        <w:rPr>
          <w:outline w:val="0"/>
          <w:color w:val="1c1a16"/>
          <w:u w:color="1c1a16"/>
          <w:rtl w:val="0"/>
          <w:lang w:val="en-US"/>
          <w14:textFill>
            <w14:solidFill>
              <w14:srgbClr w14:val="1C1A16"/>
            </w14:solidFill>
          </w14:textFill>
        </w:rPr>
        <w:t>to ACEC designation and protection where relevant and important values are present. Conducting a reevaluation in the context of a planning effort whose stated purpose is to maximize timber harvest creates a structural incentive to reduce or eliminate ACEC designations to add acres to the harvestable timber base. This inverts FLPMA</w:t>
      </w:r>
      <w:r>
        <w:rPr>
          <w:outline w:val="0"/>
          <w:color w:val="1c1a16"/>
          <w:u w:color="1c1a16"/>
          <w:rtl w:val="1"/>
          <w14:textFill>
            <w14:solidFill>
              <w14:srgbClr w14:val="1C1A16"/>
            </w14:solidFill>
          </w14:textFill>
        </w:rPr>
        <w:t>’</w:t>
      </w:r>
      <w:r>
        <w:rPr>
          <w:outline w:val="0"/>
          <w:color w:val="1c1a16"/>
          <w:u w:color="1c1a16"/>
          <w:rtl w:val="0"/>
          <w14:textFill>
            <w14:solidFill>
              <w14:srgbClr w14:val="1C1A16"/>
            </w14:solidFill>
          </w14:textFill>
        </w:rPr>
        <w:t>s mandate.</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 EIS must demonstrate that any reduction or elimination of existing ACEC designations is based on a finding that the relevant and important values for which the ACEC was designated are no longer present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not on a desire to expand the timber base. </w:t>
      </w:r>
    </w:p>
    <w:p>
      <w:pPr>
        <w:pStyle w:val="Body"/>
        <w:spacing w:before="80" w:after="80"/>
      </w:pPr>
      <w:r>
        <w:rPr>
          <w:outline w:val="0"/>
          <w:color w:val="1c1a16"/>
          <w:u w:color="1c1a16"/>
          <w:rtl w:val="0"/>
          <w:lang w:val="en-US"/>
          <w14:textFill>
            <w14:solidFill>
              <w14:srgbClr w14:val="1C1A16"/>
            </w14:solidFill>
          </w14:textFill>
        </w:rPr>
        <w:t>We formally nominate for</w:t>
      </w:r>
      <w:r>
        <w:rPr>
          <w:outline w:val="0"/>
          <w:color w:val="1c1a16"/>
          <w:u w:color="1c1a16"/>
          <w:rtl w:val="0"/>
          <w:lang w:val="en-US"/>
          <w14:textFill>
            <w14:solidFill>
              <w14:srgbClr w14:val="1C1A16"/>
            </w14:solidFill>
          </w14:textFill>
        </w:rPr>
        <w:t xml:space="preserve"> new</w:t>
      </w:r>
      <w:r>
        <w:rPr>
          <w:outline w:val="0"/>
          <w:color w:val="1c1a16"/>
          <w:u w:color="1c1a16"/>
          <w:rtl w:val="0"/>
          <w:lang w:val="en-US"/>
          <w14:textFill>
            <w14:solidFill>
              <w14:srgbClr w14:val="1C1A16"/>
            </w14:solidFill>
          </w14:textFill>
        </w:rPr>
        <w:t xml:space="preserve"> ACEC consideration: </w:t>
      </w:r>
      <w:r>
        <w:rPr>
          <w:outline w:val="0"/>
          <w:color w:val="1c1a16"/>
          <w:u w:color="1c1a16"/>
          <w:rtl w:val="0"/>
          <w:lang w:val="en-US"/>
          <w14:textFill>
            <w14:solidFill>
              <w14:srgbClr w14:val="1C1A16"/>
            </w14:solidFill>
          </w14:textFill>
        </w:rPr>
        <w:t>Any and a</w:t>
      </w:r>
      <w:r>
        <w:rPr>
          <w:outline w:val="0"/>
          <w:color w:val="1c1a16"/>
          <w:u w:color="1c1a16"/>
          <w:rtl w:val="0"/>
          <w:lang w:val="en-US"/>
          <w14:textFill>
            <w14:solidFill>
              <w14:srgbClr w14:val="1C1A16"/>
            </w14:solidFill>
          </w14:textFill>
        </w:rPr>
        <w:t xml:space="preserve">ll Old-Growth forest stands within </w:t>
      </w:r>
      <w:r>
        <w:rPr>
          <w:outline w:val="0"/>
          <w:color w:val="1c1a16"/>
          <w:u w:color="1c1a16"/>
          <w:rtl w:val="0"/>
          <w:lang w:val="en-US"/>
          <w14:textFill>
            <w14:solidFill>
              <w14:srgbClr w14:val="1C1A16"/>
            </w14:solidFill>
          </w14:textFill>
        </w:rPr>
        <w:t xml:space="preserve">50 miles of very popular Alsea Falls, and </w:t>
      </w:r>
      <w:r>
        <w:rPr>
          <w:outline w:val="0"/>
          <w:color w:val="1c1a16"/>
          <w:u w:color="1c1a16"/>
          <w:rtl w:val="0"/>
          <w:lang w:val="en-US"/>
          <w14:textFill>
            <w14:solidFill>
              <w14:srgbClr w14:val="1C1A16"/>
            </w14:solidFill>
          </w14:textFill>
        </w:rPr>
        <w:t>the</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Alsea River watershed</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and adjacent Coast Range drainages; riparian corridors of salmon-bearing streams, coastal headland areas with documented rare plant communities; and areas with documented Northern Spotted Owl and Marbled Murrelet activity sites.</w:t>
      </w:r>
    </w:p>
    <w:p>
      <w:pPr>
        <w:pStyle w:val="Heading"/>
        <w:pBdr>
          <w:top w:val="nil"/>
          <w:left w:val="nil"/>
          <w:bottom w:val="single" w:color="40916c" w:sz="10" w:space="0" w:shadow="0" w:frame="0"/>
          <w:right w:val="nil"/>
        </w:pBdr>
      </w:pPr>
      <w:r>
        <w:rPr>
          <w:rtl w:val="0"/>
          <w:lang w:val="de-DE"/>
        </w:rPr>
        <w:t xml:space="preserve">X.  Argument 8 </w:t>
      </w:r>
      <w:r>
        <w:rPr>
          <w:rtl w:val="0"/>
          <w:lang w:val="en-US"/>
        </w:rPr>
        <w:t xml:space="preserve">— </w:t>
      </w:r>
      <w:r>
        <w:rPr>
          <w:rtl w:val="0"/>
          <w:lang w:val="en-US"/>
        </w:rPr>
        <w:t>Executive Orders Cannot Override Congressional Statutes</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The Notice of Intent cites E.O. (Executive Order) 14223 and E.O. 14225 as helping establish the need for this RMP revision. As a matter of constitutional law under Youngstown Sheet &amp; Tube Co. v. Sawyer (1952), executive action that conflicts with Congressional statutes is without legal force. The following Congressional statutes impose binding obligations that no executive order can suspend or override:</w:t>
      </w:r>
    </w:p>
    <w:p>
      <w:pPr>
        <w:pStyle w:val="Body"/>
        <w:spacing w:before="80" w:after="8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200"/>
        <w:gridCol w:w="6160"/>
      </w:tblGrid>
      <w:tr>
        <w:tblPrEx>
          <w:shd w:val="clear" w:color="auto" w:fill="156082"/>
        </w:tblPrEx>
        <w:trPr>
          <w:trHeight w:val="223" w:hRule="atLeast"/>
          <w:tblHeader/>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Statute</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Binding Obligation That No Executive Order Can Override</w:t>
            </w:r>
          </w:p>
        </w:tc>
      </w:tr>
      <w:tr>
        <w:tblPrEx>
          <w:shd w:val="clear" w:color="auto" w:fill="cad1d7"/>
        </w:tblPrEx>
        <w:trPr>
          <w:trHeight w:val="44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ESA (Endangered Species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16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1536</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Section 7 consultation and non-jeopardy obligation for all listed species before finalizing any RMP.</w:t>
            </w:r>
          </w:p>
        </w:tc>
      </w:tr>
      <w:tr>
        <w:tblPrEx>
          <w:shd w:val="clear" w:color="auto" w:fill="cad1d7"/>
        </w:tblPrEx>
        <w:trPr>
          <w:trHeight w:val="44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CWA (Clean Water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33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1251 et seq.</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Water quality standards, Section 401 certification, Section 404 wetland permitting requirements.</w:t>
            </w:r>
          </w:p>
        </w:tc>
      </w:tr>
      <w:tr>
        <w:tblPrEx>
          <w:shd w:val="clear" w:color="auto" w:fill="cad1d7"/>
        </w:tblPrEx>
        <w:trPr>
          <w:trHeight w:val="66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FLPMA (Federal Land Policy and Management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43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1702</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Multiple-use, sustained-yield management; ACEC priority designation mandate.</w:t>
            </w:r>
          </w:p>
        </w:tc>
      </w:tr>
      <w:tr>
        <w:tblPrEx>
          <w:shd w:val="clear" w:color="auto" w:fill="cad1d7"/>
        </w:tblPrEx>
        <w:trPr>
          <w:trHeight w:val="44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NEPA (National Environmental Policy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42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4332</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Full EIS with genuine alternatives analysis; cannot be satisfied by a goal-oriented document.</w:t>
            </w:r>
          </w:p>
        </w:tc>
      </w:tr>
      <w:tr>
        <w:tblPrEx>
          <w:shd w:val="clear" w:color="auto" w:fill="cad1d7"/>
        </w:tblPrEx>
        <w:trPr>
          <w:trHeight w:val="66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NHPA (National Historic Preservation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54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306108</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Section 106 consultation on historic properties before approving undertakings.</w:t>
            </w:r>
          </w:p>
        </w:tc>
      </w:tr>
      <w:tr>
        <w:tblPrEx>
          <w:shd w:val="clear" w:color="auto" w:fill="cad1d7"/>
        </w:tblPrEx>
        <w:trPr>
          <w:trHeight w:val="443" w:hRule="atLeast"/>
        </w:trPr>
        <w:tc>
          <w:tcPr>
            <w:tcW w:type="dxa" w:w="32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APA (Administrative Procedure Act)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5 U.S.C.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706</w:t>
            </w:r>
          </w:p>
        </w:tc>
        <w:tc>
          <w:tcPr>
            <w:tcW w:type="dxa" w:w="61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Arbitrary and capricious review; agency must provide reasoned explanation for policy changes.</w:t>
            </w:r>
          </w:p>
        </w:tc>
      </w:tr>
    </w:tbl>
    <w:p>
      <w:pPr>
        <w:pStyle w:val="Body"/>
        <w:widowControl w:val="0"/>
        <w:spacing w:before="80" w:after="80"/>
      </w:pP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XI.  Argument 9 </w:t>
      </w:r>
      <w:r>
        <w:rPr>
          <w:rtl w:val="0"/>
          <w:lang w:val="en-US"/>
        </w:rPr>
        <w:t xml:space="preserve">— </w:t>
      </w:r>
      <w:r>
        <w:rPr>
          <w:rtl w:val="0"/>
          <w:lang w:val="en-US"/>
        </w:rPr>
        <w:t>The Big Beautiful Bill Undermines the Revenue Justification</w:t>
      </w:r>
    </w:p>
    <w:p>
      <w:pPr>
        <w:pStyle w:val="Body"/>
        <w:spacing w:before="80" w:after="80"/>
      </w:pPr>
    </w:p>
    <w:p>
      <w:pPr>
        <w:pStyle w:val="Body"/>
        <w:spacing w:before="80" w:after="80"/>
      </w:pPr>
      <w:r>
        <w:rPr>
          <w:outline w:val="0"/>
          <w:color w:val="1c1a16"/>
          <w:u w:color="1c1a16"/>
          <w:rtl w:val="0"/>
          <w:lang w:val="en-US"/>
          <w14:textFill>
            <w14:solidFill>
              <w14:srgbClr w14:val="1C1A16"/>
            </w14:solidFill>
          </w14:textFill>
        </w:rPr>
        <w:t xml:space="preserve">The </w:t>
      </w:r>
      <w:r>
        <w:rPr>
          <w:outline w:val="0"/>
          <w:color w:val="1c1a16"/>
          <w:u w:color="1c1a16"/>
          <w:rtl w:val="0"/>
          <w:lang w:val="en-US"/>
          <w14:textFill>
            <w14:solidFill>
              <w14:srgbClr w14:val="1C1A16"/>
            </w14:solidFill>
          </w14:textFill>
        </w:rPr>
        <w:t xml:space="preserve">One </w:t>
      </w:r>
      <w:r>
        <w:rPr>
          <w:outline w:val="0"/>
          <w:color w:val="1c1a16"/>
          <w:u w:color="1c1a16"/>
          <w:rtl w:val="0"/>
          <w:lang w:val="en-US"/>
          <w14:textFill>
            <w14:solidFill>
              <w14:srgbClr w14:val="1C1A16"/>
            </w14:solidFill>
          </w14:textFill>
        </w:rPr>
        <w:t>Big Beautiful Bill</w:t>
      </w:r>
      <w:r>
        <w:rPr>
          <w:outline w:val="0"/>
          <w:color w:val="1c1a16"/>
          <w:u w:color="1c1a16"/>
          <w:rtl w:val="0"/>
          <w:lang w:val="en-US"/>
          <w14:textFill>
            <w14:solidFill>
              <w14:srgbClr w14:val="1C1A16"/>
            </w14:solidFill>
          </w14:textFill>
        </w:rPr>
        <w:t>(OBBB)</w:t>
      </w:r>
      <w:r>
        <w:rPr>
          <w:outline w:val="0"/>
          <w:color w:val="1c1a16"/>
          <w:u w:color="1c1a16"/>
          <w:rtl w:val="0"/>
          <w:lang w:val="en-US"/>
          <w14:textFill>
            <w14:solidFill>
              <w14:srgbClr w14:val="1C1A16"/>
            </w14:solidFill>
          </w14:textFill>
        </w:rPr>
        <w:t>, signed into law July 4, 2026, contains provisions redirecting future federal timber sale revenues</w:t>
      </w:r>
      <w:r>
        <w:rPr>
          <w:outline w:val="0"/>
          <w:color w:val="1c1a16"/>
          <w:u w:color="1c1a16"/>
          <w:rtl w:val="0"/>
          <w:lang w:val="en-US"/>
          <w14:textFill>
            <w14:solidFill>
              <w14:srgbClr w14:val="1C1A16"/>
            </w14:solidFill>
          </w14:textFill>
        </w:rPr>
        <w:t xml:space="preserve"> from new long-term contracts, </w:t>
      </w:r>
      <w:r>
        <w:rPr>
          <w:outline w:val="0"/>
          <w:color w:val="1c1a16"/>
          <w:u w:color="1c1a16"/>
          <w:rtl w:val="0"/>
          <w:lang w:val="en-US"/>
          <w14:textFill>
            <w14:solidFill>
              <w14:srgbClr w14:val="1C1A16"/>
            </w14:solidFill>
          </w14:textFill>
        </w:rPr>
        <w:t xml:space="preserve"> from BLM-managed lands to the federal government, rather than to the counties and states where the timber is harvested. This directly contradicts the primary economic justification for this RMP revision, which is framed around restoring O&amp;C county revenue sharing.</w:t>
      </w:r>
      <w:r>
        <w:rPr>
          <w:outline w:val="0"/>
          <w:color w:val="1c1a16"/>
          <w:u w:color="1c1a16"/>
          <w:rtl w:val="0"/>
          <w:lang w:val="en-US"/>
          <w14:textFill>
            <w14:solidFill>
              <w14:srgbClr w14:val="1C1A16"/>
            </w14:solidFill>
          </w14:textFill>
        </w:rPr>
        <w:t xml:space="preserve"> FY 2026 Appropriations</w:t>
      </w:r>
      <w:r>
        <w:rPr>
          <w:outline w:val="0"/>
          <w:color w:val="1c1a16"/>
          <w:u w:color="1c1a16"/>
          <w:rtl w:val="0"/>
          <w14:textFill>
            <w14:solidFill>
              <w14:srgbClr w14:val="1C1A16"/>
            </w14:solidFill>
          </w14:textFill>
        </w:rPr>
        <w:t xml:space="preserve"> Bill</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gave the counties their original revenue share, however that must be reapproved the upcoming budget bills as well to be valid and override the OBBB</w:t>
      </w:r>
      <w:r>
        <w:rPr>
          <w:outline w:val="0"/>
          <w:color w:val="1c1a16"/>
          <w:u w:color="1c1a16"/>
          <w:rtl w:val="0"/>
          <w:lang w:val="en-US"/>
          <w14:textFill>
            <w14:solidFill>
              <w14:srgbClr w14:val="1C1A16"/>
            </w14:solidFill>
          </w14:textFill>
        </w:rPr>
        <w:t>.</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If the </w:t>
      </w:r>
      <w:r>
        <w:rPr>
          <w:outline w:val="0"/>
          <w:color w:val="1c1a16"/>
          <w:u w:color="1c1a16"/>
          <w:rtl w:val="0"/>
          <w:lang w:val="en-US"/>
          <w14:textFill>
            <w14:solidFill>
              <w14:srgbClr w14:val="1C1A16"/>
            </w14:solidFill>
          </w14:textFill>
        </w:rPr>
        <w:t xml:space="preserve">One </w:t>
      </w:r>
      <w:r>
        <w:rPr>
          <w:outline w:val="0"/>
          <w:color w:val="1c1a16"/>
          <w:u w:color="1c1a16"/>
          <w:rtl w:val="0"/>
          <w:lang w:val="en-US"/>
          <w14:textFill>
            <w14:solidFill>
              <w14:srgbClr w14:val="1C1A16"/>
            </w14:solidFill>
          </w14:textFill>
        </w:rPr>
        <w:t>Big Beautiful Bill has altered the legal framework for revenue distribution from these lands, then the BLM</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revenue-sharing justification is no longer accurat</w:t>
      </w:r>
      <w:r>
        <w:rPr>
          <w:outline w:val="0"/>
          <w:color w:val="1c1a16"/>
          <w:u w:color="1c1a16"/>
          <w:rtl w:val="0"/>
          <w:lang w:val="en-US"/>
          <w14:textFill>
            <w14:solidFill>
              <w14:srgbClr w14:val="1C1A16"/>
            </w14:solidFill>
          </w14:textFill>
        </w:rPr>
        <w:t>e</w:t>
      </w:r>
      <w:r>
        <w:rPr>
          <w:outline w:val="0"/>
          <w:color w:val="1c1a16"/>
          <w:u w:color="1c1a16"/>
          <w:rtl w:val="0"/>
          <w14:textFill>
            <w14:solidFill>
              <w14:srgbClr w14:val="1C1A16"/>
            </w14:solidFill>
          </w14:textFill>
        </w:rPr>
        <w:t xml:space="preserve">. </w:t>
      </w:r>
    </w:p>
    <w:p>
      <w:pPr>
        <w:pStyle w:val="Body"/>
        <w:spacing w:before="80" w:after="80"/>
      </w:pPr>
      <w:r>
        <w:rPr>
          <w:outline w:val="0"/>
          <w:color w:val="1c1a16"/>
          <w:u w:color="1c1a16"/>
          <w:rtl w:val="0"/>
          <w:lang w:val="en-US"/>
          <w14:textFill>
            <w14:solidFill>
              <w14:srgbClr w14:val="1C1A16"/>
            </w14:solidFill>
          </w14:textFill>
        </w:rPr>
        <w:t xml:space="preserve">The EIS must: disclose the full legal effect of the </w:t>
      </w:r>
      <w:r>
        <w:rPr>
          <w:outline w:val="0"/>
          <w:color w:val="1c1a16"/>
          <w:u w:color="1c1a16"/>
          <w:rtl w:val="0"/>
          <w:lang w:val="en-US"/>
          <w14:textFill>
            <w14:solidFill>
              <w14:srgbClr w14:val="1C1A16"/>
            </w14:solidFill>
          </w14:textFill>
        </w:rPr>
        <w:t xml:space="preserve">One </w:t>
      </w:r>
      <w:r>
        <w:rPr>
          <w:outline w:val="0"/>
          <w:color w:val="1c1a16"/>
          <w:u w:color="1c1a16"/>
          <w:rtl w:val="0"/>
          <w:lang w:val="en-US"/>
          <w14:textFill>
            <w14:solidFill>
              <w14:srgbClr w14:val="1C1A16"/>
            </w14:solidFill>
          </w14:textFill>
        </w:rPr>
        <w:t>Big Beautiful</w:t>
      </w:r>
      <w:r>
        <w:rPr>
          <w:outline w:val="0"/>
          <w:color w:val="1c1a16"/>
          <w:u w:color="1c1a16"/>
          <w:rtl w:val="0"/>
          <w:lang w:val="en-US"/>
          <w14:textFill>
            <w14:solidFill>
              <w14:srgbClr w14:val="1C1A16"/>
            </w14:solidFill>
          </w14:textFill>
        </w:rPr>
        <w:t xml:space="preserve"> Bill</w:t>
      </w:r>
      <w:r>
        <w:rPr>
          <w:outline w:val="0"/>
          <w:color w:val="1c1a16"/>
          <w:u w:color="1c1a16"/>
          <w:rtl w:val="0"/>
          <w:lang w:val="en-US"/>
          <w14:textFill>
            <w14:solidFill>
              <w14:srgbClr w14:val="1C1A16"/>
            </w14:solidFill>
          </w14:textFill>
        </w:rPr>
        <w:t xml:space="preserve"> on O&amp;C county revenue sharing; provide an updated economic analysis reflecting the actual revenue counties would</w:t>
      </w:r>
      <w:r>
        <w:rPr>
          <w:outline w:val="0"/>
          <w:color w:val="1c1a16"/>
          <w:u w:color="1c1a16"/>
          <w:rtl w:val="0"/>
          <w:lang w:val="en-US"/>
          <w14:textFill>
            <w14:solidFill>
              <w14:srgbClr w14:val="1C1A16"/>
            </w14:solidFill>
          </w14:textFill>
        </w:rPr>
        <w:t xml:space="preserve"> be legally guaranteed to</w:t>
      </w:r>
      <w:r>
        <w:rPr>
          <w:outline w:val="0"/>
          <w:color w:val="1c1a16"/>
          <w:u w:color="1c1a16"/>
          <w:rtl w:val="0"/>
          <w:lang w:val="en-US"/>
          <w14:textFill>
            <w14:solidFill>
              <w14:srgbClr w14:val="1C1A16"/>
            </w14:solidFill>
          </w14:textFill>
        </w:rPr>
        <w:t xml:space="preserve"> receive under proposed harvest scenarios accounting for the </w:t>
      </w:r>
      <w:r>
        <w:rPr>
          <w:outline w:val="0"/>
          <w:color w:val="1c1a16"/>
          <w:u w:color="1c1a16"/>
          <w:rtl w:val="0"/>
          <w:lang w:val="en-US"/>
          <w14:textFill>
            <w14:solidFill>
              <w14:srgbClr w14:val="1C1A16"/>
            </w14:solidFill>
          </w14:textFill>
        </w:rPr>
        <w:t>O</w:t>
      </w:r>
      <w:r>
        <w:rPr>
          <w:outline w:val="0"/>
          <w:color w:val="1c1a16"/>
          <w:u w:color="1c1a16"/>
          <w:rtl w:val="0"/>
          <w:lang w:val="en-US"/>
          <w14:textFill>
            <w14:solidFill>
              <w14:srgbClr w14:val="1C1A16"/>
            </w14:solidFill>
          </w14:textFill>
        </w:rPr>
        <w:t>BBB</w:t>
      </w:r>
      <w:r>
        <w:rPr>
          <w:outline w:val="0"/>
          <w:color w:val="1c1a16"/>
          <w:u w:color="1c1a16"/>
          <w:rtl w:val="1"/>
          <w14:textFill>
            <w14:solidFill>
              <w14:srgbClr w14:val="1C1A16"/>
            </w14:solidFill>
          </w14:textFill>
        </w:rPr>
        <w:t>’</w:t>
      </w:r>
      <w:r>
        <w:rPr>
          <w:outline w:val="0"/>
          <w:color w:val="1c1a16"/>
          <w:u w:color="1c1a16"/>
          <w:rtl w:val="0"/>
          <w14:textFill>
            <w14:solidFill>
              <w14:srgbClr w14:val="1C1A16"/>
            </w14:solidFill>
          </w14:textFill>
        </w:rPr>
        <w:t xml:space="preserve">s </w:t>
      </w:r>
      <w:r>
        <w:rPr>
          <w:outline w:val="0"/>
          <w:color w:val="1c1a16"/>
          <w:u w:color="1c1a16"/>
          <w:rtl w:val="0"/>
          <w:lang w:val="en-US"/>
          <w14:textFill>
            <w14:solidFill>
              <w14:srgbClr w14:val="1C1A16"/>
            </w14:solidFill>
          </w14:textFill>
        </w:rPr>
        <w:t xml:space="preserve">10 year </w:t>
      </w:r>
      <w:r>
        <w:rPr>
          <w:outline w:val="0"/>
          <w:color w:val="1c1a16"/>
          <w:u w:color="1c1a16"/>
          <w:rtl w:val="0"/>
          <w:lang w:val="en-US"/>
          <w14:textFill>
            <w14:solidFill>
              <w14:srgbClr w14:val="1C1A16"/>
            </w14:solidFill>
          </w14:textFill>
        </w:rPr>
        <w:t>revenue redirection; evaluate whether the county revenue justification remains valid under current law; and analyze alternative revenue mechanisms for O&amp;C counties that do not depend on maximum timber extraction from Mature and Old-Growth and mature forests</w:t>
      </w:r>
      <w:r>
        <w:rPr>
          <w:outline w:val="0"/>
          <w:color w:val="1c1a16"/>
          <w:u w:color="1c1a16"/>
          <w:rtl w:val="0"/>
          <w:lang w:val="en-US"/>
          <w14:textFill>
            <w14:solidFill>
              <w14:srgbClr w14:val="1C1A16"/>
            </w14:solidFill>
          </w14:textFill>
        </w:rPr>
        <w:t>, such as strengthening the outdoor recreation sites and economy.</w:t>
      </w:r>
    </w:p>
    <w:p>
      <w:pPr>
        <w:pStyle w:val="Body"/>
        <w:pBdr>
          <w:top w:val="single" w:color="c44b1a" w:sz="8" w:space="0" w:shadow="0" w:frame="0"/>
          <w:left w:val="single" w:color="c44b1a" w:sz="8" w:space="0" w:shadow="0" w:frame="0"/>
          <w:bottom w:val="nil"/>
          <w:right w:val="single" w:color="c44b1a" w:sz="8" w:space="0" w:shadow="0" w:frame="0"/>
        </w:pBdr>
        <w:shd w:val="clear" w:color="auto" w:fill="fff0ee"/>
        <w:spacing w:before="200"/>
        <w:ind w:left="180" w:right="180" w:firstLine="0"/>
      </w:pPr>
      <w:r>
        <w:rPr>
          <w:b w:val="1"/>
          <w:bCs w:val="1"/>
          <w:outline w:val="0"/>
          <w:color w:val="7b0000"/>
          <w:sz w:val="23"/>
          <w:szCs w:val="23"/>
          <w:u w:color="7b0000"/>
          <w:rtl w:val="0"/>
          <w:lang w:val="en-US"/>
          <w14:textFill>
            <w14:solidFill>
              <w14:srgbClr w14:val="7B0000"/>
            </w14:solidFill>
          </w14:textFill>
        </w:rPr>
        <w:t>The AOCC Contradiction</w:t>
      </w:r>
    </w:p>
    <w:p>
      <w:pPr>
        <w:pStyle w:val="Body"/>
        <w:pBdr>
          <w:top w:val="nil"/>
          <w:left w:val="single" w:color="c44b1a" w:sz="8" w:space="0" w:shadow="0" w:frame="0"/>
          <w:bottom w:val="single" w:color="c44b1a" w:sz="8" w:space="0" w:shadow="0" w:frame="0"/>
          <w:right w:val="single" w:color="c44b1a" w:sz="8" w:space="0" w:shadow="0" w:frame="0"/>
        </w:pBdr>
        <w:shd w:val="clear" w:color="auto" w:fill="fff0ee"/>
        <w:spacing w:after="200"/>
        <w:ind w:left="180" w:right="180" w:firstLine="0"/>
      </w:pPr>
      <w:r>
        <w:rPr>
          <w:i w:val="1"/>
          <w:iCs w:val="1"/>
          <w:outline w:val="0"/>
          <w:color w:val="1c1a16"/>
          <w:sz w:val="21"/>
          <w:szCs w:val="21"/>
          <w:u w:color="1c1a16"/>
          <w:rtl w:val="0"/>
          <w:lang w:val="en-US"/>
          <w14:textFill>
            <w14:solidFill>
              <w14:srgbClr w14:val="1C1A16"/>
            </w14:solidFill>
          </w14:textFill>
        </w:rPr>
        <w:t>The Association of O&amp;C Counties (AOCC) and Representative Cliff Bentz's HR 7603 bill both advocate for maximum harvest increases on the stated basis of county revenue restoration. Neither has adequately addressed the</w:t>
      </w:r>
      <w:r>
        <w:rPr>
          <w:i w:val="1"/>
          <w:iCs w:val="1"/>
          <w:outline w:val="0"/>
          <w:color w:val="1c1a16"/>
          <w:sz w:val="21"/>
          <w:szCs w:val="21"/>
          <w:u w:color="1c1a16"/>
          <w:rtl w:val="0"/>
          <w:lang w:val="en-US"/>
          <w14:textFill>
            <w14:solidFill>
              <w14:srgbClr w14:val="1C1A16"/>
            </w14:solidFill>
          </w14:textFill>
        </w:rPr>
        <w:t xml:space="preserve"> One</w:t>
      </w:r>
      <w:r>
        <w:rPr>
          <w:i w:val="1"/>
          <w:iCs w:val="1"/>
          <w:outline w:val="0"/>
          <w:color w:val="1c1a16"/>
          <w:sz w:val="21"/>
          <w:szCs w:val="21"/>
          <w:u w:color="1c1a16"/>
          <w:rtl w:val="0"/>
          <w:lang w:val="en-US"/>
          <w14:textFill>
            <w14:solidFill>
              <w14:srgbClr w14:val="1C1A16"/>
            </w14:solidFill>
          </w14:textFill>
        </w:rPr>
        <w:t xml:space="preserve"> Big Beautiful Bill's redirection of timber revenues to the federal government</w:t>
      </w:r>
      <w:r>
        <w:rPr>
          <w:i w:val="1"/>
          <w:iCs w:val="1"/>
          <w:outline w:val="0"/>
          <w:color w:val="1c1a16"/>
          <w:sz w:val="21"/>
          <w:szCs w:val="21"/>
          <w:u w:color="1c1a16"/>
          <w:rtl w:val="0"/>
          <w:lang w:val="en-US"/>
          <w14:textFill>
            <w14:solidFill>
              <w14:srgbClr w14:val="1C1A16"/>
            </w14:solidFill>
          </w14:textFill>
        </w:rPr>
        <w:t xml:space="preserve">, the need for annual Appropriations approval, </w:t>
      </w:r>
      <w:r>
        <w:rPr>
          <w:i w:val="1"/>
          <w:iCs w:val="1"/>
          <w:outline w:val="0"/>
          <w:color w:val="1c1a16"/>
          <w:sz w:val="21"/>
          <w:szCs w:val="21"/>
          <w:u w:color="1c1a16"/>
          <w:rtl w:val="0"/>
          <w:lang w:val="en-US"/>
          <w14:textFill>
            <w14:solidFill>
              <w14:srgbClr w14:val="1C1A16"/>
            </w14:solidFill>
          </w14:textFill>
        </w:rPr>
        <w:t>or a safeguard against a sudden</w:t>
      </w:r>
      <w:r>
        <w:rPr>
          <w:i w:val="1"/>
          <w:iCs w:val="1"/>
          <w:outline w:val="0"/>
          <w:color w:val="1c1a16"/>
          <w:sz w:val="21"/>
          <w:szCs w:val="21"/>
          <w:u w:color="1c1a16"/>
          <w:rtl w:val="0"/>
          <w:lang w:val="en-US"/>
          <w14:textFill>
            <w14:solidFill>
              <w14:srgbClr w14:val="1C1A16"/>
            </w14:solidFill>
          </w14:textFill>
        </w:rPr>
        <w:t xml:space="preserve">ly </w:t>
      </w:r>
      <w:r>
        <w:rPr>
          <w:i w:val="1"/>
          <w:iCs w:val="1"/>
          <w:outline w:val="0"/>
          <w:color w:val="1c1a16"/>
          <w:sz w:val="21"/>
          <w:szCs w:val="21"/>
          <w:u w:color="1c1a16"/>
          <w:rtl w:val="0"/>
          <w:lang w:val="en-US"/>
          <w14:textFill>
            <w14:solidFill>
              <w14:srgbClr w14:val="1C1A16"/>
            </w14:solidFill>
          </w14:textFill>
        </w:rPr>
        <w:t xml:space="preserve">very oversaturated market reducing any </w:t>
      </w:r>
      <w:r>
        <w:rPr>
          <w:i w:val="1"/>
          <w:iCs w:val="1"/>
          <w:outline w:val="0"/>
          <w:color w:val="1c1a16"/>
          <w:sz w:val="21"/>
          <w:szCs w:val="21"/>
          <w:u w:color="1c1a16"/>
          <w:rtl w:val="0"/>
          <w:lang w:val="en-US"/>
          <w14:textFill>
            <w14:solidFill>
              <w14:srgbClr w14:val="1C1A16"/>
            </w14:solidFill>
          </w14:textFill>
        </w:rPr>
        <w:t xml:space="preserve">real </w:t>
      </w:r>
      <w:r>
        <w:rPr>
          <w:i w:val="1"/>
          <w:iCs w:val="1"/>
          <w:outline w:val="0"/>
          <w:color w:val="1c1a16"/>
          <w:sz w:val="21"/>
          <w:szCs w:val="21"/>
          <w:u w:color="1c1a16"/>
          <w:rtl w:val="0"/>
          <w:lang w:val="en-US"/>
          <w14:textFill>
            <w14:solidFill>
              <w14:srgbClr w14:val="1C1A16"/>
            </w14:solidFill>
          </w14:textFill>
        </w:rPr>
        <w:t>profits</w:t>
      </w:r>
      <w:r>
        <w:rPr>
          <w:i w:val="1"/>
          <w:iCs w:val="1"/>
          <w:outline w:val="0"/>
          <w:color w:val="1c1a16"/>
          <w:sz w:val="21"/>
          <w:szCs w:val="21"/>
          <w:u w:color="1c1a16"/>
          <w:rtl w:val="0"/>
          <w:lang w:val="en-US"/>
          <w14:textFill>
            <w14:solidFill>
              <w14:srgbClr w14:val="1C1A16"/>
            </w14:solidFill>
          </w14:textFill>
        </w:rPr>
        <w:t xml:space="preserve"> at all. </w:t>
      </w:r>
      <w:r>
        <w:rPr>
          <w:i w:val="1"/>
          <w:iCs w:val="1"/>
          <w:outline w:val="0"/>
          <w:color w:val="1c1a16"/>
          <w:sz w:val="21"/>
          <w:szCs w:val="21"/>
          <w:u w:color="1c1a16"/>
          <w:rtl w:val="0"/>
          <w:lang w:val="en-US"/>
          <w14:textFill>
            <w14:solidFill>
              <w14:srgbClr w14:val="1C1A16"/>
            </w14:solidFill>
          </w14:textFill>
        </w:rPr>
        <w:t>The public and the BLM deserve a transparent accounting of who actually benefits financially from the proposed revision under the current legal framework</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 xml:space="preserve">and a permanent legal solution for the counties to enjoy sustainable </w:t>
      </w:r>
      <w:r>
        <w:rPr>
          <w:i w:val="1"/>
          <w:iCs w:val="1"/>
          <w:outline w:val="0"/>
          <w:color w:val="1c1a16"/>
          <w:sz w:val="21"/>
          <w:szCs w:val="21"/>
          <w:u w:color="1c1a16"/>
          <w:rtl w:val="0"/>
          <w:lang w:val="en-US"/>
          <w14:textFill>
            <w14:solidFill>
              <w14:srgbClr w14:val="1C1A16"/>
            </w14:solidFill>
          </w14:textFill>
        </w:rPr>
        <w:t xml:space="preserve">compensation and </w:t>
      </w:r>
      <w:r>
        <w:rPr>
          <w:i w:val="1"/>
          <w:iCs w:val="1"/>
          <w:outline w:val="0"/>
          <w:color w:val="1c1a16"/>
          <w:sz w:val="21"/>
          <w:szCs w:val="21"/>
          <w:u w:color="1c1a16"/>
          <w:rtl w:val="0"/>
          <w:lang w:val="en-US"/>
          <w14:textFill>
            <w14:solidFill>
              <w14:srgbClr w14:val="1C1A16"/>
            </w14:solidFill>
          </w14:textFill>
        </w:rPr>
        <w:t xml:space="preserve">benefits from </w:t>
      </w:r>
      <w:r>
        <w:rPr>
          <w:i w:val="1"/>
          <w:iCs w:val="1"/>
          <w:outline w:val="0"/>
          <w:color w:val="1c1a16"/>
          <w:sz w:val="21"/>
          <w:szCs w:val="21"/>
          <w:u w:color="1c1a16"/>
          <w:rtl w:val="0"/>
          <w:lang w:val="en-US"/>
          <w14:textFill>
            <w14:solidFill>
              <w14:srgbClr w14:val="1C1A16"/>
            </w14:solidFill>
          </w14:textFill>
        </w:rPr>
        <w:t>Stewarding these O&amp;C lands for multiple generations.</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rPr>
        <w:t xml:space="preserve">XII.  Argument 10 </w:t>
      </w:r>
      <w:r>
        <w:rPr>
          <w:rtl w:val="0"/>
          <w:lang w:val="en-US"/>
        </w:rPr>
        <w:t>–</w:t>
      </w:r>
      <w:r>
        <w:rPr>
          <w:rtl w:val="0"/>
          <w:lang w:val="en-US"/>
        </w:rPr>
        <w:t xml:space="preserve"> Mature and Old-Growth Ecological and Carbon Values Must Be Quantified</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NEPA and FLPMA both require analysis of all resource values, not only timber stumpage. The EIS must quantify the full ecological and economic value of Mature and Old-Growth forests in the planning area. </w:t>
      </w:r>
    </w:p>
    <w:p>
      <w:pPr>
        <w:pStyle w:val="Body"/>
        <w:spacing w:before="80" w:after="80"/>
      </w:pPr>
      <w:r>
        <w:rPr>
          <w:outline w:val="0"/>
          <w:color w:val="1c1a16"/>
          <w:u w:color="1c1a16"/>
          <w:rtl w:val="0"/>
          <w:lang w:val="en-US"/>
          <w14:textFill>
            <w14:solidFill>
              <w14:srgbClr w14:val="1C1A16"/>
            </w14:solidFill>
          </w14:textFill>
        </w:rPr>
        <w:t>Along with the multiple values of large stream buffers and riparian areas,  Old-Groth trees documented resistance to and recovery from wild-fires, these</w:t>
      </w:r>
      <w:r>
        <w:rPr>
          <w:outline w:val="0"/>
          <w:color w:val="1c1a16"/>
          <w:u w:color="1c1a16"/>
          <w:rtl w:val="0"/>
          <w:lang w:val="en-US"/>
          <w14:textFill>
            <w14:solidFill>
              <w14:srgbClr w14:val="1C1A16"/>
            </w14:solidFill>
          </w14:textFill>
        </w:rPr>
        <w:t xml:space="preserve"> values are </w:t>
      </w:r>
      <w:r>
        <w:rPr>
          <w:outline w:val="0"/>
          <w:color w:val="1c1a16"/>
          <w:u w:color="1c1a16"/>
          <w:rtl w:val="0"/>
          <w:lang w:val="en-US"/>
          <w14:textFill>
            <w14:solidFill>
              <w14:srgbClr w14:val="1C1A16"/>
            </w14:solidFill>
          </w14:textFill>
        </w:rPr>
        <w:t xml:space="preserve">also </w:t>
      </w:r>
      <w:r>
        <w:rPr>
          <w:outline w:val="0"/>
          <w:color w:val="1c1a16"/>
          <w:u w:color="1c1a16"/>
          <w:rtl w:val="0"/>
          <w:lang w:val="en-US"/>
          <w14:textFill>
            <w14:solidFill>
              <w14:srgbClr w14:val="1C1A16"/>
            </w14:solidFill>
          </w14:textFill>
        </w:rPr>
        <w:t>currently absent from the BLM</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economic analysis</w:t>
      </w:r>
      <w:r>
        <w:rPr>
          <w:outline w:val="0"/>
          <w:color w:val="1c1a16"/>
          <w:u w:color="1c1a16"/>
          <w:rtl w:val="0"/>
          <w:lang w:val="en-US"/>
          <w14:textFill>
            <w14:solidFill>
              <w14:srgbClr w14:val="1C1A16"/>
            </w14:solidFill>
          </w14:textFill>
        </w:rPr>
        <w:t>, and All must be included:</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400"/>
        <w:gridCol w:w="3400"/>
        <w:gridCol w:w="3560"/>
      </w:tblGrid>
      <w:tr>
        <w:tblPrEx>
          <w:shd w:val="clear" w:color="auto" w:fill="156082"/>
        </w:tblPrEx>
        <w:trPr>
          <w:trHeight w:val="223" w:hRule="atLeast"/>
          <w:tblHeader/>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Ecological Service</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Value / Mechanism</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Impact of Clearcut Harvest</w:t>
            </w:r>
          </w:p>
        </w:tc>
      </w:tr>
      <w:tr>
        <w:tblPrEx>
          <w:shd w:val="clear" w:color="auto" w:fill="cad1d7"/>
        </w:tblPrEx>
        <w:trPr>
          <w:trHeight w:val="1130"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Carbon Storage &amp; Sequestration</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Oregon Coast Range Mature and Old-Growth stores 400</w:t>
            </w:r>
            <w:r>
              <w:rPr>
                <w:outline w:val="0"/>
                <w:color w:val="1c1a16"/>
                <w:sz w:val="20"/>
                <w:szCs w:val="20"/>
                <w:u w:color="1c1a16"/>
                <w:shd w:val="nil" w:color="auto" w:fill="auto"/>
                <w:rtl w:val="0"/>
                <w:lang w:val="en-US"/>
                <w14:textFill>
                  <w14:solidFill>
                    <w14:srgbClr w14:val="1C1A16"/>
                  </w14:solidFill>
                </w14:textFill>
              </w:rPr>
              <w:t>–</w:t>
            </w:r>
            <w:r>
              <w:rPr>
                <w:outline w:val="0"/>
                <w:color w:val="1c1a16"/>
                <w:sz w:val="20"/>
                <w:szCs w:val="20"/>
                <w:u w:color="1c1a16"/>
                <w:shd w:val="nil" w:color="auto" w:fill="auto"/>
                <w:rtl w:val="0"/>
                <w:lang w:val="en-US"/>
                <w14:textFill>
                  <w14:solidFill>
                    <w14:srgbClr w14:val="1C1A16"/>
                  </w14:solidFill>
                </w14:textFill>
              </w:rPr>
              <w:t>900 metric tons CO</w:t>
            </w:r>
            <w:r>
              <w:rPr>
                <w:rFonts w:ascii="Arial Unicode MS" w:cs="Arial Unicode MS" w:hAnsi="Arial Unicode MS" w:eastAsia="Arial Unicode MS" w:hint="default"/>
                <w:b w:val="0"/>
                <w:bCs w:val="0"/>
                <w:i w:val="0"/>
                <w:iCs w:val="0"/>
                <w:outline w:val="0"/>
                <w:color w:val="1c1a16"/>
                <w:sz w:val="20"/>
                <w:szCs w:val="20"/>
                <w:u w:color="1c1a16"/>
                <w:shd w:val="nil" w:color="auto" w:fill="auto"/>
                <w:rtl w:val="0"/>
                <w:lang w:val="en-US"/>
                <w14:textFill>
                  <w14:solidFill>
                    <w14:srgbClr w14:val="1C1A16"/>
                  </w14:solidFill>
                </w14:textFill>
              </w:rPr>
              <w:t>₂</w:t>
            </w:r>
            <w:r>
              <w:rPr>
                <w:outline w:val="0"/>
                <w:color w:val="1c1a16"/>
                <w:sz w:val="20"/>
                <w:szCs w:val="20"/>
                <w:u w:color="1c1a16"/>
                <w:shd w:val="nil" w:color="auto" w:fill="auto"/>
                <w:rtl w:val="0"/>
                <w:lang w:val="en-US"/>
                <w14:textFill>
                  <w14:solidFill>
                    <w14:srgbClr w14:val="1C1A16"/>
                  </w14:solidFill>
                </w14:textFill>
              </w:rPr>
              <w:t xml:space="preserve">e per hectare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among the highest carbon density forests on Earth.</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Clearcut releases stored carbon as CO</w:t>
            </w:r>
            <w:r>
              <w:rPr>
                <w:rFonts w:ascii="Arial Unicode MS" w:cs="Arial Unicode MS" w:hAnsi="Arial Unicode MS" w:eastAsia="Arial Unicode MS" w:hint="default"/>
                <w:b w:val="0"/>
                <w:bCs w:val="0"/>
                <w:i w:val="0"/>
                <w:iCs w:val="0"/>
                <w:outline w:val="0"/>
                <w:color w:val="c44b1a"/>
                <w:sz w:val="20"/>
                <w:szCs w:val="20"/>
                <w:u w:color="c44b1a"/>
                <w:shd w:val="nil" w:color="auto" w:fill="auto"/>
                <w:rtl w:val="0"/>
                <w:lang w:val="en-US"/>
                <w14:textFill>
                  <w14:solidFill>
                    <w14:srgbClr w14:val="C44B1A"/>
                  </w14:solidFill>
                </w14:textFill>
              </w:rPr>
              <w:t>₂</w:t>
            </w:r>
            <w:r>
              <w:rPr>
                <w:outline w:val="0"/>
                <w:color w:val="c44b1a"/>
                <w:sz w:val="20"/>
                <w:szCs w:val="20"/>
                <w:u w:color="c44b1a"/>
                <w:shd w:val="nil" w:color="auto" w:fill="auto"/>
                <w:rtl w:val="0"/>
                <w:lang w:val="en-US"/>
                <w14:textFill>
                  <w14:solidFill>
                    <w14:srgbClr w14:val="C44B1A"/>
                  </w14:solidFill>
                </w14:textFill>
              </w:rPr>
              <w:t xml:space="preserve"> </w:t>
            </w:r>
            <w:r>
              <w:rPr>
                <w:outline w:val="0"/>
                <w:color w:val="c44b1a"/>
                <w:sz w:val="20"/>
                <w:szCs w:val="20"/>
                <w:u w:color="c44b1a"/>
                <w:shd w:val="nil" w:color="auto" w:fill="auto"/>
                <w:rtl w:val="0"/>
                <w:lang w:val="en-US"/>
                <w14:textFill>
                  <w14:solidFill>
                    <w14:srgbClr w14:val="C44B1A"/>
                  </w14:solidFill>
                </w14:textFill>
              </w:rPr>
              <w:t>through decomposing slash and disturbed soil. Recovery takes 80</w:t>
            </w:r>
            <w:r>
              <w:rPr>
                <w:outline w:val="0"/>
                <w:color w:val="c44b1a"/>
                <w:sz w:val="20"/>
                <w:szCs w:val="20"/>
                <w:u w:color="c44b1a"/>
                <w:shd w:val="nil" w:color="auto" w:fill="auto"/>
                <w:rtl w:val="0"/>
                <w:lang w:val="en-US"/>
                <w14:textFill>
                  <w14:solidFill>
                    <w14:srgbClr w14:val="C44B1A"/>
                  </w14:solidFill>
                </w14:textFill>
              </w:rPr>
              <w:t>–</w:t>
            </w:r>
            <w:r>
              <w:rPr>
                <w:outline w:val="0"/>
                <w:color w:val="c44b1a"/>
                <w:sz w:val="20"/>
                <w:szCs w:val="20"/>
                <w:u w:color="c44b1a"/>
                <w:shd w:val="nil" w:color="auto" w:fill="auto"/>
                <w:rtl w:val="0"/>
                <w:lang w:val="en-US"/>
                <w14:textFill>
                  <w14:solidFill>
                    <w14:srgbClr w14:val="C44B1A"/>
                  </w14:solidFill>
                </w14:textFill>
              </w:rPr>
              <w:t>200+ years.</w:t>
            </w:r>
          </w:p>
        </w:tc>
      </w:tr>
      <w:tr>
        <w:tblPrEx>
          <w:shd w:val="clear" w:color="auto" w:fill="cad1d7"/>
        </w:tblPrEx>
        <w:trPr>
          <w:trHeight w:val="110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Cold Water / Salmon Habitat</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Dense canopy shades streams, maintaining cold water temperatures critical for Coho and Chinook salmon egg survival in Alsea River and coastal tributaries.</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Harvest removes riparian canopy. Stream temperatures rise. Bank erosion increases sedimentation. Salmon habitat degraded within one season.</w:t>
            </w:r>
          </w:p>
        </w:tc>
      </w:tr>
      <w:tr>
        <w:tblPrEx>
          <w:shd w:val="clear" w:color="auto" w:fill="cad1d7"/>
        </w:tblPrEx>
        <w:trPr>
          <w:trHeight w:val="132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Drinking Water Quality</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Intact Mature and Old-Growth watersheds deliver 15</w:t>
            </w:r>
            <w:r>
              <w:rPr>
                <w:outline w:val="0"/>
                <w:color w:val="1c1a16"/>
                <w:sz w:val="20"/>
                <w:szCs w:val="20"/>
                <w:u w:color="1c1a16"/>
                <w:shd w:val="nil" w:color="auto" w:fill="auto"/>
                <w:rtl w:val="0"/>
                <w:lang w:val="en-US"/>
                <w14:textFill>
                  <w14:solidFill>
                    <w14:srgbClr w14:val="1C1A16"/>
                  </w14:solidFill>
                </w14:textFill>
              </w:rPr>
              <w:t>–</w:t>
            </w:r>
            <w:r>
              <w:rPr>
                <w:outline w:val="0"/>
                <w:color w:val="1c1a16"/>
                <w:sz w:val="20"/>
                <w:szCs w:val="20"/>
                <w:u w:color="1c1a16"/>
                <w:shd w:val="nil" w:color="auto" w:fill="auto"/>
                <w:rtl w:val="0"/>
                <w:lang w:val="en-US"/>
                <w14:textFill>
                  <w14:solidFill>
                    <w14:srgbClr w14:val="1C1A16"/>
                  </w14:solidFill>
                </w14:textFill>
              </w:rPr>
              <w:t>25% more dry-season base flow than equivalent clearcut watersheds (USFS Pacific NW Research Station).</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Accelerates peak flows, increases erosion, reduces dry-season base flow affecting Lincoln County municipal and private water supplies.</w:t>
            </w:r>
          </w:p>
        </w:tc>
      </w:tr>
      <w:tr>
        <w:tblPrEx>
          <w:shd w:val="clear" w:color="auto" w:fill="cad1d7"/>
        </w:tblPrEx>
        <w:trPr>
          <w:trHeight w:val="132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Biodiversity &amp; Listed Species Habitat</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Over 1,500 species depend on Mature and Old-Growth structure in Pacific Northwest forests. Northern Spotted Owl and Marbled Murrelet require Mature and Old-Growth for nesting and roosting.</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Plantation monocultures support a fraction of Mature and Old-Growth biodiversity. Critical Habitat for federally listed species is functionally eliminated.</w:t>
            </w:r>
          </w:p>
        </w:tc>
      </w:tr>
      <w:tr>
        <w:tblPrEx>
          <w:shd w:val="clear" w:color="auto" w:fill="cad1d7"/>
        </w:tblPrEx>
        <w:trPr>
          <w:trHeight w:val="1323"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Mycorrhizal Fungal Networks</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Mature and Old-Growth supports dense underground mycorrhizal networks enabling tree-to-tree nutrient transfer, seedling establishment, and long-term soil health.</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Clearcut + herbicide application destroys fungal networks. Replanted monocultures take decades to re-establish mycorrhizal function.</w:t>
            </w:r>
          </w:p>
        </w:tc>
      </w:tr>
      <w:tr>
        <w:tblPrEx>
          <w:shd w:val="clear" w:color="auto" w:fill="cad1d7"/>
        </w:tblPrEx>
        <w:trPr>
          <w:trHeight w:val="1130" w:hRule="atLeast"/>
        </w:trPr>
        <w:tc>
          <w:tcPr>
            <w:tcW w:type="dxa" w:w="2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Carbon Credit Market Value</w:t>
            </w:r>
          </w:p>
        </w:tc>
        <w:tc>
          <w:tcPr>
            <w:tcW w:type="dxa" w:w="340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At current voluntary market prices ($15</w:t>
            </w:r>
            <w:r>
              <w:rPr>
                <w:outline w:val="0"/>
                <w:color w:val="1c1a16"/>
                <w:sz w:val="20"/>
                <w:szCs w:val="20"/>
                <w:u w:color="1c1a16"/>
                <w:shd w:val="nil" w:color="auto" w:fill="auto"/>
                <w:rtl w:val="0"/>
                <w:lang w:val="en-US"/>
                <w14:textFill>
                  <w14:solidFill>
                    <w14:srgbClr w14:val="1C1A16"/>
                  </w14:solidFill>
                </w14:textFill>
              </w:rPr>
              <w:t>–</w:t>
            </w:r>
            <w:r>
              <w:rPr>
                <w:outline w:val="0"/>
                <w:color w:val="1c1a16"/>
                <w:sz w:val="20"/>
                <w:szCs w:val="20"/>
                <w:u w:color="1c1a16"/>
                <w:shd w:val="nil" w:color="auto" w:fill="auto"/>
                <w:rtl w:val="0"/>
                <w:lang w:val="en-US"/>
                <w14:textFill>
                  <w14:solidFill>
                    <w14:srgbClr w14:val="1C1A16"/>
                  </w14:solidFill>
                </w14:textFill>
              </w:rPr>
              <w:t>50/MT CO</w:t>
            </w:r>
            <w:r>
              <w:rPr>
                <w:rFonts w:ascii="Arial Unicode MS" w:cs="Arial Unicode MS" w:hAnsi="Arial Unicode MS" w:eastAsia="Arial Unicode MS" w:hint="default"/>
                <w:b w:val="0"/>
                <w:bCs w:val="0"/>
                <w:i w:val="0"/>
                <w:iCs w:val="0"/>
                <w:outline w:val="0"/>
                <w:color w:val="1c1a16"/>
                <w:sz w:val="20"/>
                <w:szCs w:val="20"/>
                <w:u w:color="1c1a16"/>
                <w:shd w:val="nil" w:color="auto" w:fill="auto"/>
                <w:rtl w:val="0"/>
                <w:lang w:val="en-US"/>
                <w14:textFill>
                  <w14:solidFill>
                    <w14:srgbClr w14:val="1C1A16"/>
                  </w14:solidFill>
                </w14:textFill>
              </w:rPr>
              <w:t>₂</w:t>
            </w:r>
            <w:r>
              <w:rPr>
                <w:outline w:val="0"/>
                <w:color w:val="1c1a16"/>
                <w:sz w:val="20"/>
                <w:szCs w:val="20"/>
                <w:u w:color="1c1a16"/>
                <w:shd w:val="nil" w:color="auto" w:fill="auto"/>
                <w:rtl w:val="0"/>
                <w:lang w:val="en-US"/>
                <w14:textFill>
                  <w14:solidFill>
                    <w14:srgbClr w14:val="1C1A16"/>
                  </w14:solidFill>
                </w14:textFill>
              </w:rPr>
              <w:t>e), a 500-hectare Mature and Old-Growth stand represents $3M</w:t>
            </w:r>
            <w:r>
              <w:rPr>
                <w:outline w:val="0"/>
                <w:color w:val="1c1a16"/>
                <w:sz w:val="20"/>
                <w:szCs w:val="20"/>
                <w:u w:color="1c1a16"/>
                <w:shd w:val="nil" w:color="auto" w:fill="auto"/>
                <w:rtl w:val="0"/>
                <w:lang w:val="en-US"/>
                <w14:textFill>
                  <w14:solidFill>
                    <w14:srgbClr w14:val="1C1A16"/>
                  </w14:solidFill>
                </w14:textFill>
              </w:rPr>
              <w:t>–</w:t>
            </w:r>
            <w:r>
              <w:rPr>
                <w:outline w:val="0"/>
                <w:color w:val="1c1a16"/>
                <w:sz w:val="20"/>
                <w:szCs w:val="20"/>
                <w:u w:color="1c1a16"/>
                <w:shd w:val="nil" w:color="auto" w:fill="auto"/>
                <w:rtl w:val="0"/>
                <w:lang w:val="en-US"/>
                <w14:textFill>
                  <w14:solidFill>
                    <w14:srgbClr w14:val="1C1A16"/>
                  </w14:solidFill>
                </w14:textFill>
              </w:rPr>
              <w:t>22M in potential carbon credit value.</w:t>
            </w:r>
          </w:p>
        </w:tc>
        <w:tc>
          <w:tcPr>
            <w:tcW w:type="dxa" w:w="356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c44b1a"/>
                <w:sz w:val="20"/>
                <w:szCs w:val="20"/>
                <w:u w:color="c44b1a"/>
                <w:shd w:val="nil" w:color="auto" w:fill="auto"/>
                <w:rtl w:val="0"/>
                <w:lang w:val="en-US"/>
                <w14:textFill>
                  <w14:solidFill>
                    <w14:srgbClr w14:val="C44B1A"/>
                  </w14:solidFill>
                </w14:textFill>
              </w:rPr>
              <w:t>This value is permanently lost upon harvest and is never counted in the BLM's timber sale revenue analysis.</w:t>
            </w:r>
          </w:p>
        </w:tc>
      </w:tr>
    </w:tbl>
    <w:p>
      <w:pPr>
        <w:pStyle w:val="Body"/>
        <w:widowControl w:val="0"/>
        <w:spacing w:before="80" w:after="80"/>
      </w:pP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XIII.  Proposed Alternatives</w:t>
      </w:r>
    </w:p>
    <w:p>
      <w:pPr>
        <w:pStyle w:val="Body"/>
        <w:spacing w:before="80" w:after="80"/>
      </w:pPr>
      <w:r>
        <w:rPr>
          <w:outline w:val="0"/>
          <w:color w:val="1c1a16"/>
          <w:u w:color="1c1a16"/>
          <w:rtl w:val="0"/>
          <w:lang w:val="en-US"/>
          <w14:textFill>
            <w14:solidFill>
              <w14:srgbClr w14:val="1C1A16"/>
            </w14:solidFill>
          </w14:textFill>
        </w:rPr>
        <w:t>We do not oppose all timber harvest on O&amp;C lands. We oppose the specific approach scoped in this Notice of Intent, which frames the purpose and need as returning to maximum historic harvest levels without regard for the legal, ecological, and economic constraints that have developed over the past 90 years. We urge the BLM to analyze the following alternatives in the Draft RMP/EIS:</w:t>
      </w:r>
    </w:p>
    <w:p>
      <w:pPr>
        <w:pStyle w:val="Heading 2"/>
      </w:pPr>
      <w:r>
        <w:rPr>
          <w:rtl w:val="0"/>
          <w:lang w:val="en-US"/>
        </w:rPr>
        <w:t>Alternative A: Targeted Treatment of Existing Timber Rotation Lands</w:t>
      </w:r>
    </w:p>
    <w:p>
      <w:pPr>
        <w:pStyle w:val="Body"/>
        <w:spacing w:before="80" w:after="80"/>
      </w:pPr>
      <w:r>
        <w:rPr>
          <w:outline w:val="0"/>
          <w:color w:val="1c1a16"/>
          <w:u w:color="1c1a16"/>
          <w:rtl w:val="0"/>
          <w:lang w:val="en-US"/>
          <w14:textFill>
            <w14:solidFill>
              <w14:srgbClr w14:val="1C1A16"/>
            </w14:solidFill>
          </w14:textFill>
        </w:rPr>
        <w:t>Focus increased harvest activity exclusively on lands already in managed timber rotation</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second-growth plantations established after the mid-20th century liquidation harvests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rather than on mature and Mature and Old-Growth forest stands. This approach can increase harvest volumes meaningfully while avoiding the most severe ecological, legal, and community impacts. It is consistent with the O&amp;C Act</w:t>
      </w:r>
      <w:r>
        <w:rPr>
          <w:outline w:val="0"/>
          <w:color w:val="1c1a16"/>
          <w:u w:color="1c1a16"/>
          <w:rtl w:val="1"/>
          <w14:textFill>
            <w14:solidFill>
              <w14:srgbClr w14:val="1C1A16"/>
            </w14:solidFill>
          </w14:textFill>
        </w:rPr>
        <w:t>’</w:t>
      </w:r>
      <w:r>
        <w:rPr>
          <w:outline w:val="0"/>
          <w:color w:val="1c1a16"/>
          <w:u w:color="1c1a16"/>
          <w:rtl w:val="0"/>
          <w:lang w:val="en-US"/>
          <w14:textFill>
            <w14:solidFill>
              <w14:srgbClr w14:val="1C1A16"/>
            </w14:solidFill>
          </w14:textFill>
        </w:rPr>
        <w:t>s sustained-yield mandate</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interpreted as managing for long-term productivity rather than maximum immediate extraction.</w:t>
      </w:r>
    </w:p>
    <w:p>
      <w:pPr>
        <w:pStyle w:val="Heading 2"/>
      </w:pPr>
      <w:r>
        <w:rPr>
          <w:rtl w:val="0"/>
          <w:lang w:val="en-US"/>
        </w:rPr>
        <w:t>Alternative B: Ecological Forestry with Longer Rotations</w:t>
      </w:r>
    </w:p>
    <w:p>
      <w:pPr>
        <w:pStyle w:val="Body"/>
        <w:spacing w:before="80" w:after="80"/>
      </w:pPr>
      <w:r>
        <w:rPr>
          <w:outline w:val="0"/>
          <w:color w:val="1c1a16"/>
          <w:u w:color="1c1a16"/>
          <w:rtl w:val="0"/>
          <w:lang w:val="en-US"/>
          <w14:textFill>
            <w14:solidFill>
              <w14:srgbClr w14:val="1C1A16"/>
            </w14:solidFill>
          </w14:textFill>
        </w:rPr>
        <w:t>Adopt an ecological forestry management approach that extends rotation periods to approx. 80 years, retains biological legacies including large trees, snags, and downed wood, uses variable-retention harvesting rather than clearcuts, and maintains a network of Mature and Old-Growth reserves across the planning area. This approach produces commercial timber yields while retaining substantially greater ecological, watershed, and wildlife habitat values.</w:t>
      </w:r>
    </w:p>
    <w:p>
      <w:pPr>
        <w:pStyle w:val="Heading 2"/>
      </w:pPr>
      <w:r>
        <w:rPr>
          <w:rtl w:val="0"/>
          <w:lang w:val="en-US"/>
        </w:rPr>
        <w:t>Alternative C: Diversified County Revenue from Multiple Uses</w:t>
      </w:r>
    </w:p>
    <w:p>
      <w:pPr>
        <w:pStyle w:val="Body"/>
        <w:spacing w:before="80" w:after="80"/>
      </w:pPr>
      <w:r>
        <w:rPr>
          <w:outline w:val="0"/>
          <w:color w:val="1c1a16"/>
          <w:u w:color="1c1a16"/>
          <w:rtl w:val="0"/>
          <w:lang w:val="en-US"/>
          <w14:textFill>
            <w14:solidFill>
              <w14:srgbClr w14:val="1C1A16"/>
            </w14:solidFill>
          </w14:textFill>
        </w:rPr>
        <w:t>Develop a diversified revenue model that includes payments for ecosystem services such as carbon sequestration, watershed protection, and biodiversity conservation; recreation fees and recreation-linked economic development; and updated federal payment formulas that reflect the full economic value of public lands to local communities. Given the</w:t>
      </w:r>
      <w:r>
        <w:rPr>
          <w:outline w:val="0"/>
          <w:color w:val="1c1a16"/>
          <w:u w:color="1c1a16"/>
          <w:rtl w:val="0"/>
          <w:lang w:val="en-US"/>
          <w14:textFill>
            <w14:solidFill>
              <w14:srgbClr w14:val="1C1A16"/>
            </w14:solidFill>
          </w14:textFill>
        </w:rPr>
        <w:t xml:space="preserve"> One </w:t>
      </w:r>
      <w:r>
        <w:rPr>
          <w:outline w:val="0"/>
          <w:color w:val="1c1a16"/>
          <w:u w:color="1c1a16"/>
          <w:rtl w:val="0"/>
          <w:lang w:val="en-US"/>
          <w14:textFill>
            <w14:solidFill>
              <w14:srgbClr w14:val="1C1A16"/>
            </w14:solidFill>
          </w14:textFill>
        </w:rPr>
        <w:t xml:space="preserve"> Big Beautiful Bill</w:t>
      </w:r>
      <w:r>
        <w:rPr>
          <w:outline w:val="0"/>
          <w:color w:val="1c1a16"/>
          <w:u w:color="1c1a16"/>
          <w:rtl w:val="1"/>
          <w14:textFill>
            <w14:solidFill>
              <w14:srgbClr w14:val="1C1A16"/>
            </w14:solidFill>
          </w14:textFill>
        </w:rPr>
        <w:t>’</w:t>
      </w:r>
      <w:r>
        <w:rPr>
          <w:outline w:val="0"/>
          <w:color w:val="1c1a16"/>
          <w:u w:color="1c1a16"/>
          <w:rtl w:val="0"/>
          <w:lang w:val="fr-FR"/>
          <w14:textFill>
            <w14:solidFill>
              <w14:srgbClr w14:val="1C1A16"/>
            </w14:solidFill>
          </w14:textFill>
        </w:rPr>
        <w:t>s re</w:t>
      </w:r>
      <w:r>
        <w:rPr>
          <w:outline w:val="0"/>
          <w:color w:val="1c1a16"/>
          <w:u w:color="1c1a16"/>
          <w:rtl w:val="0"/>
          <w:lang w:val="en-US"/>
          <w14:textFill>
            <w14:solidFill>
              <w14:srgbClr w14:val="1C1A16"/>
            </w14:solidFill>
          </w14:textFill>
        </w:rPr>
        <w:t>direction</w:t>
      </w:r>
      <w:r>
        <w:rPr>
          <w:outline w:val="0"/>
          <w:color w:val="1c1a16"/>
          <w:u w:color="1c1a16"/>
          <w:rtl w:val="0"/>
          <w:lang w:val="en-US"/>
          <w14:textFill>
            <w14:solidFill>
              <w14:srgbClr w14:val="1C1A16"/>
            </w14:solidFill>
          </w14:textFill>
        </w:rPr>
        <w:t xml:space="preserve"> of timber revenues, this alternative addresses the county revenue problem more effectively than the proposed maximum harvest approach.</w:t>
      </w:r>
    </w:p>
    <w:p>
      <w:pPr>
        <w:pStyle w:val="Heading 2"/>
      </w:pPr>
      <w:r>
        <w:rPr>
          <w:rtl w:val="0"/>
          <w:lang w:val="en-US"/>
        </w:rPr>
        <w:t>Alternative D: Community Forest Partnerships</w:t>
      </w:r>
    </w:p>
    <w:p>
      <w:pPr>
        <w:pStyle w:val="Body"/>
        <w:spacing w:before="80" w:after="80"/>
      </w:pPr>
      <w:r>
        <w:rPr>
          <w:outline w:val="0"/>
          <w:color w:val="1c1a16"/>
          <w:u w:color="1c1a16"/>
          <w:rtl w:val="0"/>
          <w:lang w:val="en-US"/>
          <w14:textFill>
            <w14:solidFill>
              <w14:srgbClr w14:val="1C1A16"/>
            </w14:solidFill>
          </w14:textFill>
        </w:rPr>
        <w:t>Establish community forest partnerships with Oregon coastal counties and Tribal Nations that provide local management authority over specific forest units in exchange for commitments to sustainable harvest practices, Mature and Old-Growth protection, and local employment. This model has been successfully implemented in other western states and provides genuine local economic benefit while maintaining ecological values.</w:t>
      </w:r>
      <w:r>
        <w:rPr>
          <w:outline w:val="0"/>
          <w:color w:val="1c1a16"/>
          <w:u w:color="1c1a16"/>
          <w:rtl w:val="0"/>
          <w:lang w:val="en-US"/>
          <w14:textFill>
            <w14:solidFill>
              <w14:srgbClr w14:val="1C1A16"/>
            </w14:solidFill>
          </w14:textFill>
        </w:rPr>
        <w:t xml:space="preserve"> Various </w:t>
      </w:r>
      <w:r>
        <w:rPr>
          <w:outline w:val="0"/>
          <w:color w:val="1c1a16"/>
          <w:u w:color="1c1a16"/>
          <w:rtl w:val="0"/>
          <w14:textFill>
            <w14:solidFill>
              <w14:srgbClr w14:val="1C1A16"/>
            </w14:solidFill>
          </w14:textFill>
        </w:rPr>
        <w:t>local stakeholder holders</w:t>
      </w:r>
      <w:r>
        <w:rPr>
          <w:outline w:val="0"/>
          <w:color w:val="1c1a16"/>
          <w:u w:color="1c1a16"/>
          <w:rtl w:val="0"/>
          <w:lang w:val="en-US"/>
          <w14:textFill>
            <w14:solidFill>
              <w14:srgbClr w14:val="1C1A16"/>
            </w14:solidFill>
          </w14:textFill>
        </w:rPr>
        <w:t xml:space="preserve"> have mentioned how this alternative could work for mutual benefit.</w:t>
      </w:r>
    </w:p>
    <w:p>
      <w:pPr>
        <w:pStyle w:val="Heading 2"/>
      </w:pPr>
      <w:r>
        <w:rPr>
          <w:rtl w:val="0"/>
          <w:lang w:val="en-US"/>
        </w:rPr>
        <w:t>Alternative E: Targeted Fuels Treatment Without Commercial Harvest</w:t>
      </w:r>
    </w:p>
    <w:p>
      <w:pPr>
        <w:pStyle w:val="Body"/>
        <w:spacing w:before="80" w:after="80"/>
      </w:pPr>
      <w:r>
        <w:rPr>
          <w:outline w:val="0"/>
          <w:color w:val="1c1a16"/>
          <w:u w:color="1c1a16"/>
          <w:rtl w:val="0"/>
          <w:lang w:val="en-US"/>
          <w14:textFill>
            <w14:solidFill>
              <w14:srgbClr w14:val="1C1A16"/>
            </w14:solidFill>
          </w14:textFill>
        </w:rPr>
        <w:t>For lands where fire hazard reduction is a genuine management goal, analyze non-commercial treatments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including prescribed fire, mechanical fuels reduction without timber sale, and restoration of historical fire regimes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 separately from commercial harvest objectives. The EIS must analyze </w:t>
      </w:r>
      <w:r>
        <w:rPr>
          <w:outline w:val="0"/>
          <w:color w:val="1c1a16"/>
          <w:u w:color="1c1a16"/>
          <w:rtl w:val="0"/>
          <w:lang w:val="en-US"/>
          <w14:textFill>
            <w14:solidFill>
              <w14:srgbClr w14:val="1C1A16"/>
            </w14:solidFill>
          </w14:textFill>
        </w:rPr>
        <w:t>how</w:t>
      </w:r>
      <w:r>
        <w:rPr>
          <w:outline w:val="0"/>
          <w:color w:val="1c1a16"/>
          <w:u w:color="1c1a16"/>
          <w:rtl w:val="0"/>
          <w:lang w:val="en-US"/>
          <w14:textFill>
            <w14:solidFill>
              <w14:srgbClr w14:val="1C1A16"/>
            </w14:solidFill>
          </w14:textFill>
        </w:rPr>
        <w:t xml:space="preserve"> fire hazard reduction goals can be achieved through treatments that do not involve commercial harvest of Mature and Old-Growth and mature forest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which have been proven repeatedly and documented scientifically and publicly for years, as worsening fire resistance instead of creating protections. This is especially true as discussed in this document, with low elevation moist and wet forest types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as is present on the western slopes of the coast range.</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XIV.  Requested Scoping Issues and Planning Criteria Additions</w:t>
      </w:r>
    </w:p>
    <w:p>
      <w:pPr>
        <w:pStyle w:val="Body"/>
        <w:spacing w:before="80" w:after="80"/>
      </w:pPr>
      <w:r>
        <w:rPr>
          <w:outline w:val="0"/>
          <w:color w:val="1c1a16"/>
          <w:u w:color="1c1a16"/>
          <w:rtl w:val="0"/>
          <w:lang w:val="en-US"/>
          <w14:textFill>
            <w14:solidFill>
              <w14:srgbClr w14:val="1C1A16"/>
            </w14:solidFill>
          </w14:textFill>
        </w:rPr>
        <w:t>We request the following issues be added to the</w:t>
      </w:r>
      <w:r>
        <w:rPr>
          <w:outline w:val="0"/>
          <w:color w:val="1c1a16"/>
          <w:u w:color="1c1a16"/>
          <w:rtl w:val="0"/>
          <w:lang w:val="en-US"/>
          <w14:textFill>
            <w14:solidFill>
              <w14:srgbClr w14:val="1C1A16"/>
            </w14:solidFill>
          </w14:textFill>
        </w:rPr>
        <w:t xml:space="preserve"> scoping and </w:t>
      </w:r>
      <w:r>
        <w:rPr>
          <w:outline w:val="0"/>
          <w:color w:val="1c1a16"/>
          <w:u w:color="1c1a16"/>
          <w:rtl w:val="0"/>
          <w:lang w:val="en-US"/>
          <w14:textFill>
            <w14:solidFill>
              <w14:srgbClr w14:val="1C1A16"/>
            </w14:solidFill>
          </w14:textFill>
        </w:rPr>
        <w:t xml:space="preserve"> EIS analytical framework:</w:t>
      </w:r>
    </w:p>
    <w:p>
      <w:pPr>
        <w:pStyle w:val="Body"/>
        <w:widowControl w:val="0"/>
        <w:spacing w:before="80" w:after="80"/>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63"/>
        <w:gridCol w:w="8897"/>
      </w:tblGrid>
      <w:tr>
        <w:tblPrEx>
          <w:shd w:val="clear" w:color="auto" w:fill="156082"/>
        </w:tblPrEx>
        <w:trPr>
          <w:trHeight w:val="223" w:hRule="atLeast"/>
          <w:tblHeader/>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Requested Scoping Issue</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1</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Full ESA Section 7 consultation status disclosure and timeline for all listed species in the planning area, including Northern Spotted Owl, Marbled Murrelet, and Oregon Coast Coho Salmon.</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2</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Comparative economic analysis of timber harvest revenue versus recreation and tourism economy, including job quality, wage levels, and local economic multiplier effects.</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3</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Actual employment projections under maximum harvest scenarios, disaggregated by job type, local vs. H-2B visa workforce composition, and current automation levels.</w:t>
            </w:r>
          </w:p>
        </w:tc>
      </w:tr>
      <w:tr>
        <w:tblPrEx>
          <w:shd w:val="clear" w:color="auto" w:fill="cad1d7"/>
        </w:tblPrEx>
        <w:trPr>
          <w:trHeight w:val="66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4</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Independent wildfire risk analysis using peer-reviewed science, specifically including analysis of fire behavior differences between intact Mature and Old-Growth and recently clearcut areas;and in each separate forest type and zone</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5</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Cumulative air quality analysis from slash pile burning at proposed harvest scales, with specific reference to PM2.5 and PM10 impacts on Western and Coastal Oregon.</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6</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 xml:space="preserve">Full herbicide use analysis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 xml:space="preserve">glyphosate, atrazine, 2,4-D and related compounds </w:t>
            </w:r>
            <w:r>
              <w:rPr>
                <w:outline w:val="0"/>
                <w:color w:val="1c1a16"/>
                <w:sz w:val="20"/>
                <w:szCs w:val="20"/>
                <w:u w:color="1c1a16"/>
                <w:shd w:val="nil" w:color="auto" w:fill="auto"/>
                <w:rtl w:val="0"/>
                <w:lang w:val="en-US"/>
                <w14:textFill>
                  <w14:solidFill>
                    <w14:srgbClr w14:val="1C1A16"/>
                  </w14:solidFill>
                </w14:textFill>
              </w:rPr>
              <w:t xml:space="preserve">— </w:t>
            </w:r>
            <w:r>
              <w:rPr>
                <w:outline w:val="0"/>
                <w:color w:val="1c1a16"/>
                <w:sz w:val="20"/>
                <w:szCs w:val="20"/>
                <w:u w:color="1c1a16"/>
                <w:shd w:val="nil" w:color="auto" w:fill="auto"/>
                <w:rtl w:val="0"/>
                <w:lang w:val="en-US"/>
                <w14:textFill>
                  <w14:solidFill>
                    <w14:srgbClr w14:val="1C1A16"/>
                  </w14:solidFill>
                </w14:textFill>
              </w:rPr>
              <w:t>with specific attention to Alsea River watershed impacts, groundwater quality, and mycorrhizal network effects.</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7</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ACEC relevance and importance re-evaluation using BLM Manual 1613 standards, with presumption of retention for all existing designations.</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8</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Legal effect of the Big Beautiful Bill on O&amp;C county revenue sharing and disclosure of actual county revenue under proposed harvest levels under current law.</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9</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Carbon sequestration and storage values of Mature and Old-Growth and mature forest stands, including analysis of carbon flux under proposed harvest vs. alternative scenarios.</w:t>
            </w:r>
          </w:p>
        </w:tc>
      </w:tr>
      <w:tr>
        <w:tblPrEx>
          <w:shd w:val="clear" w:color="auto" w:fill="cad1d7"/>
        </w:tblPrEx>
        <w:trPr>
          <w:trHeight w:val="88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10</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Tribal cultural resources, treaty rights, and government-to-government consultation outcomes for the Confederated Tribes of Siletz Indians, Confederated Tribes of Grand Ronde, Coquille Indian Tribe, Cow Creek Band of Umpqua Tribe of Indians, and other Tribes with interests in the planning area.</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11</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afafa"/>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Wild and Scenic Rivers Act (WSR) consistency analysis for all designated and eligible river segments in the planning area.</w:t>
            </w:r>
          </w:p>
        </w:tc>
      </w:tr>
      <w:tr>
        <w:tblPrEx>
          <w:shd w:val="clear" w:color="auto" w:fill="cad1d7"/>
        </w:tblPrEx>
        <w:trPr>
          <w:trHeight w:val="443" w:hRule="atLeast"/>
        </w:trPr>
        <w:tc>
          <w:tcPr>
            <w:tcW w:type="dxa" w:w="46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12</w:t>
            </w:r>
          </w:p>
        </w:tc>
        <w:tc>
          <w:tcPr>
            <w:tcW w:type="dxa" w:w="8897"/>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spacing w:before="40" w:after="40"/>
            </w:pPr>
            <w:r>
              <w:rPr>
                <w:outline w:val="0"/>
                <w:color w:val="1c1a16"/>
                <w:sz w:val="20"/>
                <w:szCs w:val="20"/>
                <w:u w:color="1c1a16"/>
                <w:shd w:val="nil" w:color="auto" w:fill="auto"/>
                <w:rtl w:val="0"/>
                <w:lang w:val="en-US"/>
                <w14:textFill>
                  <w14:solidFill>
                    <w14:srgbClr w14:val="1C1A16"/>
                  </w14:solidFill>
                </w14:textFill>
              </w:rPr>
              <w:t>Analysis of HR 7603 (Bentz bill) and its potential effect on judicial review of BLM land management decisions as context for the public interest in this planning process.</w:t>
            </w:r>
          </w:p>
        </w:tc>
      </w:tr>
    </w:tbl>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it-IT"/>
        </w:rPr>
        <w:t>XV.  Conclusion</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 xml:space="preserve">The communities of Western and Coastal Oregon, and our rural counties, have a deep and multi-generational relationship with the forests, rivers, and coastal ecosystems of western Oregon. </w:t>
      </w:r>
    </w:p>
    <w:p>
      <w:pPr>
        <w:pStyle w:val="Body"/>
        <w:spacing w:before="80" w:after="80"/>
      </w:pPr>
      <w:r>
        <w:rPr>
          <w:outline w:val="0"/>
          <w:color w:val="1c1a16"/>
          <w:u w:color="1c1a16"/>
          <w:rtl w:val="0"/>
          <w:lang w:val="en-US"/>
          <w14:textFill>
            <w14:solidFill>
              <w14:srgbClr w14:val="1C1A16"/>
            </w14:solidFill>
          </w14:textFill>
        </w:rPr>
        <w:t xml:space="preserve">Many of our </w:t>
      </w:r>
      <w:r>
        <w:rPr>
          <w:outline w:val="0"/>
          <w:color w:val="1c1a16"/>
          <w:u w:color="1c1a16"/>
          <w:rtl w:val="0"/>
          <w:lang w:val="en-US"/>
          <w14:textFill>
            <w14:solidFill>
              <w14:srgbClr w14:val="1C1A16"/>
            </w14:solidFill>
          </w14:textFill>
        </w:rPr>
        <w:t xml:space="preserve">community's </w:t>
      </w:r>
      <w:r>
        <w:rPr>
          <w:outline w:val="0"/>
          <w:color w:val="1c1a16"/>
          <w:u w:color="1c1a16"/>
          <w:rtl w:val="0"/>
          <w:lang w:val="en-US"/>
          <w14:textFill>
            <w14:solidFill>
              <w14:srgbClr w14:val="1C1A16"/>
            </w14:solidFill>
          </w14:textFill>
        </w:rPr>
        <w:t>family members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have been in the forestry or Logging industry, and many of us have grown up with </w:t>
      </w:r>
      <w:r>
        <w:rPr>
          <w:outline w:val="0"/>
          <w:color w:val="1c1a16"/>
          <w:u w:color="1c1a16"/>
          <w:rtl w:val="0"/>
          <w:lang w:val="en-US"/>
          <w14:textFill>
            <w14:solidFill>
              <w14:srgbClr w14:val="1C1A16"/>
            </w14:solidFill>
          </w14:textFill>
        </w:rPr>
        <w:t xml:space="preserve">logging and these </w:t>
      </w:r>
      <w:r>
        <w:rPr>
          <w:outline w:val="0"/>
          <w:color w:val="1c1a16"/>
          <w:u w:color="1c1a16"/>
          <w:rtl w:val="0"/>
          <w:lang w:val="fr-FR"/>
          <w14:textFill>
            <w14:solidFill>
              <w14:srgbClr w14:val="1C1A16"/>
            </w14:solidFill>
          </w14:textFill>
        </w:rPr>
        <w:t>conversation</w:t>
      </w:r>
      <w:r>
        <w:rPr>
          <w:outline w:val="0"/>
          <w:color w:val="1c1a16"/>
          <w:u w:color="1c1a16"/>
          <w:rtl w:val="0"/>
          <w:lang w:val="en-US"/>
          <w14:textFill>
            <w14:solidFill>
              <w14:srgbClr w14:val="1C1A16"/>
            </w14:solidFill>
          </w14:textFill>
        </w:rPr>
        <w:t xml:space="preserve">s all around us. </w:t>
      </w:r>
      <w:r>
        <w:rPr>
          <w:outline w:val="0"/>
          <w:color w:val="1c1a16"/>
          <w:u w:color="1c1a16"/>
          <w:rtl w:val="0"/>
          <w:lang w:val="en-US"/>
          <w14:textFill>
            <w14:solidFill>
              <w14:srgbClr w14:val="1C1A16"/>
            </w14:solidFill>
          </w14:textFill>
        </w:rPr>
        <w:t>It is a part of our collective history.</w:t>
      </w:r>
      <w:r>
        <w:rPr>
          <w:outline w:val="0"/>
          <w:color w:val="1c1a16"/>
          <w:u w:color="1c1a16"/>
          <w:rtl w:val="0"/>
          <w:lang w:val="en-US"/>
          <w14:textFill>
            <w14:solidFill>
              <w14:srgbClr w14:val="1C1A16"/>
            </w14:solidFill>
          </w14:textFill>
        </w:rPr>
        <w:t xml:space="preserve"> As such, we</w:t>
      </w:r>
      <w:r>
        <w:rPr>
          <w:outline w:val="0"/>
          <w:color w:val="1c1a16"/>
          <w:u w:color="1c1a16"/>
          <w:rtl w:val="0"/>
          <w:lang w:val="en-US"/>
          <w14:textFill>
            <w14:solidFill>
              <w14:srgbClr w14:val="1C1A16"/>
            </w14:solidFill>
          </w14:textFill>
        </w:rPr>
        <w:t xml:space="preserve"> are not opposed to thoughtful, science-based forest management. We are opposed to a revision process that has been scoped toward a predetermined outcome of maximum timber extraction at historically unprecedented scales, using legal justifications that have been substantially undermined by subsequent legislation</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and </w:t>
      </w:r>
      <w:r>
        <w:rPr>
          <w:outline w:val="0"/>
          <w:color w:val="1c1a16"/>
          <w:u w:color="1c1a16"/>
          <w:rtl w:val="0"/>
          <w:lang w:val="en-US"/>
          <w14:textFill>
            <w14:solidFill>
              <w14:srgbClr w14:val="1C1A16"/>
            </w14:solidFill>
          </w14:textFill>
        </w:rPr>
        <w:t>misleading</w:t>
      </w:r>
      <w:r>
        <w:rPr>
          <w:outline w:val="0"/>
          <w:color w:val="1c1a16"/>
          <w:u w:color="1c1a16"/>
          <w:rtl w:val="0"/>
          <w:lang w:val="en-US"/>
          <w14:textFill>
            <w14:solidFill>
              <w14:srgbClr w14:val="1C1A16"/>
            </w14:solidFill>
          </w14:textFill>
        </w:rPr>
        <w:t xml:space="preserve"> claims about wildfire and economics that contradict the peer-reviewed scientific </w:t>
      </w:r>
      <w:r>
        <w:rPr>
          <w:outline w:val="0"/>
          <w:color w:val="1c1a16"/>
          <w:u w:color="1c1a16"/>
          <w:rtl w:val="0"/>
          <w:lang w:val="en-US"/>
          <w14:textFill>
            <w14:solidFill>
              <w14:srgbClr w14:val="1C1A16"/>
            </w14:solidFill>
          </w14:textFill>
        </w:rPr>
        <w:t xml:space="preserve">and agency </w:t>
      </w:r>
      <w:r>
        <w:rPr>
          <w:outline w:val="0"/>
          <w:color w:val="1c1a16"/>
          <w:u w:color="1c1a16"/>
          <w:rtl w:val="0"/>
          <w:lang w:val="it-IT"/>
          <w14:textFill>
            <w14:solidFill>
              <w14:srgbClr w14:val="1C1A16"/>
            </w14:solidFill>
          </w14:textFill>
        </w:rPr>
        <w:t>record.</w:t>
      </w:r>
    </w:p>
    <w:p>
      <w:pPr>
        <w:pStyle w:val="Body"/>
        <w:spacing w:before="80" w:after="80"/>
      </w:pPr>
      <w:r>
        <w:rPr>
          <w:outline w:val="0"/>
          <w:color w:val="1c1a16"/>
          <w:u w:color="1c1a16"/>
          <w:rtl w:val="0"/>
          <w:lang w:val="en-US"/>
          <w14:textFill>
            <w14:solidFill>
              <w14:srgbClr w14:val="1C1A16"/>
            </w14:solidFill>
          </w14:textFill>
        </w:rPr>
        <w:t>The forests we are defending are the source of the cold, clean water that supports our salmon runs</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our drinking water</w:t>
      </w:r>
      <w:r>
        <w:rPr>
          <w:outline w:val="0"/>
          <w:color w:val="1c1a16"/>
          <w:u w:color="1c1a16"/>
          <w:rtl w:val="0"/>
          <w:lang w:val="en-US"/>
          <w14:textFill>
            <w14:solidFill>
              <w14:srgbClr w14:val="1C1A16"/>
            </w14:solidFill>
          </w14:textFill>
        </w:rPr>
        <w:t>, and our small farms.</w:t>
      </w:r>
      <w:r>
        <w:rPr>
          <w:outline w:val="0"/>
          <w:color w:val="1c1a16"/>
          <w:u w:color="1c1a16"/>
          <w:rtl w:val="0"/>
          <w:lang w:val="en-US"/>
          <w14:textFill>
            <w14:solidFill>
              <w14:srgbClr w14:val="1C1A16"/>
            </w14:solidFill>
          </w14:textFill>
        </w:rPr>
        <w:t xml:space="preserve"> They are the Mature and Old-Growth stands that our families hike, photograph, and rely on for income from recreation and tourism. They are the carbon stores that mitigate climate impacts on our coastal communi</w:t>
      </w:r>
      <w:r>
        <w:rPr>
          <w:outline w:val="0"/>
          <w:color w:val="1c1a16"/>
          <w:u w:color="1c1a16"/>
          <w:rtl w:val="0"/>
          <w:lang w:val="en-US"/>
          <w14:textFill>
            <w14:solidFill>
              <w14:srgbClr w14:val="1C1A16"/>
            </w14:solidFill>
          </w14:textFill>
        </w:rPr>
        <w:t>ties</w:t>
      </w:r>
      <w:r>
        <w:rPr>
          <w:outline w:val="0"/>
          <w:color w:val="1c1a16"/>
          <w:u w:color="1c1a16"/>
          <w:rtl w:val="0"/>
          <w:lang w:val="en-US"/>
          <w14:textFill>
            <w14:solidFill>
              <w14:srgbClr w14:val="1C1A16"/>
            </w14:solidFill>
          </w14:textFill>
        </w:rPr>
        <w:t>. They are the Critical Habitat for species that federal law requires the BLM to protect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and that </w:t>
      </w:r>
      <w:r>
        <w:rPr>
          <w:outline w:val="0"/>
          <w:color w:val="1c1a16"/>
          <w:u w:color="1c1a16"/>
          <w:rtl w:val="0"/>
          <w:lang w:val="en-US"/>
          <w14:textFill>
            <w14:solidFill>
              <w14:srgbClr w14:val="1C1A16"/>
            </w14:solidFill>
          </w14:textFill>
        </w:rPr>
        <w:t>allure</w:t>
      </w:r>
      <w:r>
        <w:rPr>
          <w:outline w:val="0"/>
          <w:color w:val="1c1a16"/>
          <w:u w:color="1c1a16"/>
          <w:rtl w:val="0"/>
          <w:lang w:val="en-US"/>
          <w14:textFill>
            <w14:solidFill>
              <w14:srgbClr w14:val="1C1A16"/>
            </w14:solidFill>
          </w14:textFill>
        </w:rPr>
        <w:t xml:space="preserve"> visitors and their income to our </w:t>
      </w:r>
      <w:r>
        <w:rPr>
          <w:outline w:val="0"/>
          <w:color w:val="1c1a16"/>
          <w:u w:color="1c1a16"/>
          <w:rtl w:val="0"/>
          <w:lang w:val="en-US"/>
          <w14:textFill>
            <w14:solidFill>
              <w14:srgbClr w14:val="1C1A16"/>
            </w14:solidFill>
          </w14:textFill>
        </w:rPr>
        <w:t>communities, to spend on local businesses that support or families.</w:t>
      </w:r>
    </w:p>
    <w:p>
      <w:pPr>
        <w:pStyle w:val="Body"/>
        <w:spacing w:before="80" w:after="80"/>
      </w:pPr>
    </w:p>
    <w:p>
      <w:pPr>
        <w:pStyle w:val="Body"/>
        <w:spacing w:before="80" w:after="80"/>
      </w:pPr>
      <w:r>
        <w:rPr>
          <w:outline w:val="0"/>
          <w:color w:val="1c1a16"/>
          <w:u w:color="1c1a16"/>
          <w:rtl w:val="0"/>
          <w:lang w:val="en-US"/>
          <w14:textFill>
            <w14:solidFill>
              <w14:srgbClr w14:val="1C1A16"/>
            </w14:solidFill>
          </w14:textFill>
        </w:rPr>
        <w:t>We request that the Bureau of Land Management:</w:t>
      </w:r>
    </w:p>
    <w:p>
      <w:pPr>
        <w:pStyle w:val="List Paragraph"/>
        <w:numPr>
          <w:ilvl w:val="0"/>
          <w:numId w:val="20"/>
        </w:numPr>
        <w:spacing w:before="50" w:after="50"/>
        <w:rPr>
          <w:lang w:val="en-US"/>
        </w:rPr>
      </w:pPr>
      <w:r>
        <w:rPr>
          <w:outline w:val="0"/>
          <w:color w:val="1c1a16"/>
          <w:u w:color="1c1a16"/>
          <w:rtl w:val="0"/>
          <w:lang w:val="en-US"/>
          <w14:textFill>
            <w14:solidFill>
              <w14:srgbClr w14:val="1C1A16"/>
            </w14:solidFill>
          </w14:textFill>
        </w:rPr>
        <w:t>Revise the purpose and need statement to reflect a genuinely open-ended alternatives analysis rather than a predetermined maximum harvest outcome;</w:t>
      </w:r>
    </w:p>
    <w:p>
      <w:pPr>
        <w:pStyle w:val="List Paragraph"/>
        <w:numPr>
          <w:ilvl w:val="0"/>
          <w:numId w:val="22"/>
        </w:numPr>
        <w:spacing w:before="50" w:after="50"/>
        <w:rPr>
          <w:lang w:val="en-US"/>
        </w:rPr>
      </w:pPr>
      <w:r>
        <w:rPr>
          <w:outline w:val="0"/>
          <w:color w:val="1c1a16"/>
          <w:u w:color="1c1a16"/>
          <w:rtl w:val="0"/>
          <w:lang w:val="en-US"/>
          <w14:textFill>
            <w14:solidFill>
              <w14:srgbClr w14:val="1C1A16"/>
            </w14:solidFill>
          </w14:textFill>
        </w:rPr>
        <w:t>Disclose the current status of ESA Section 7 consultation before proceeding with the EIS;</w:t>
      </w:r>
    </w:p>
    <w:p>
      <w:pPr>
        <w:pStyle w:val="List Paragraph"/>
        <w:numPr>
          <w:ilvl w:val="0"/>
          <w:numId w:val="24"/>
        </w:numPr>
        <w:spacing w:before="50" w:after="50"/>
        <w:rPr>
          <w:lang w:val="en-US"/>
        </w:rPr>
      </w:pPr>
      <w:r>
        <w:rPr>
          <w:outline w:val="0"/>
          <w:color w:val="1c1a16"/>
          <w:u w:color="1c1a16"/>
          <w:rtl w:val="0"/>
          <w:lang w:val="en-US"/>
          <w14:textFill>
            <w14:solidFill>
              <w14:srgbClr w14:val="1C1A16"/>
            </w14:solidFill>
          </w14:textFill>
        </w:rPr>
        <w:t xml:space="preserve">Conduct a rigorous, independent economic analysis that accounts for automation, H-2B labor realities, recreation economy values, carbon storage values, and the </w:t>
      </w:r>
      <w:r>
        <w:rPr>
          <w:outline w:val="0"/>
          <w:color w:val="1c1a16"/>
          <w:u w:color="1c1a16"/>
          <w:rtl w:val="0"/>
          <w:lang w:val="en-US"/>
          <w14:textFill>
            <w14:solidFill>
              <w14:srgbClr w14:val="1C1A16"/>
            </w14:solidFill>
          </w14:textFill>
        </w:rPr>
        <w:t>OBBB's</w:t>
      </w:r>
      <w:r>
        <w:rPr>
          <w:outline w:val="0"/>
          <w:color w:val="1c1a16"/>
          <w:u w:color="1c1a16"/>
          <w:rtl w:val="0"/>
          <w:lang w:val="en-US"/>
          <w14:textFill>
            <w14:solidFill>
              <w14:srgbClr w14:val="1C1A16"/>
            </w14:solidFill>
          </w14:textFill>
        </w:rPr>
        <w:t xml:space="preserve"> revenue redirection;</w:t>
      </w:r>
    </w:p>
    <w:p>
      <w:pPr>
        <w:pStyle w:val="List Paragraph"/>
        <w:numPr>
          <w:ilvl w:val="0"/>
          <w:numId w:val="26"/>
        </w:numPr>
        <w:spacing w:before="50" w:after="50"/>
        <w:rPr>
          <w:lang w:val="en-US"/>
        </w:rPr>
      </w:pPr>
      <w:r>
        <w:rPr>
          <w:outline w:val="0"/>
          <w:color w:val="1c1a16"/>
          <w:u w:color="1c1a16"/>
          <w:rtl w:val="0"/>
          <w:lang w:val="en-US"/>
          <w14:textFill>
            <w14:solidFill>
              <w14:srgbClr w14:val="1C1A16"/>
            </w14:solidFill>
          </w14:textFill>
        </w:rPr>
        <w:t>Use peer-reviewed,</w:t>
      </w:r>
      <w:r>
        <w:rPr>
          <w:outline w:val="0"/>
          <w:color w:val="1c1a16"/>
          <w:u w:color="1c1a16"/>
          <w:rtl w:val="0"/>
          <w:lang w:val="en-US"/>
          <w14:textFill>
            <w14:solidFill>
              <w14:srgbClr w14:val="1C1A16"/>
            </w14:solidFill>
          </w14:textFill>
        </w:rPr>
        <w:t xml:space="preserve"> non-biased,</w:t>
      </w:r>
      <w:r>
        <w:rPr>
          <w:outline w:val="0"/>
          <w:color w:val="1c1a16"/>
          <w:u w:color="1c1a16"/>
          <w:rtl w:val="0"/>
          <w:lang w:val="en-US"/>
          <w14:textFill>
            <w14:solidFill>
              <w14:srgbClr w14:val="1C1A16"/>
            </w14:solidFill>
          </w14:textFill>
        </w:rPr>
        <w:t xml:space="preserve"> non-</w:t>
      </w:r>
      <w:r>
        <w:rPr>
          <w:outline w:val="0"/>
          <w:color w:val="1c1a16"/>
          <w:u w:color="1c1a16"/>
          <w:rtl w:val="0"/>
          <w:lang w:val="en-US"/>
          <w14:textFill>
            <w14:solidFill>
              <w14:srgbClr w14:val="1C1A16"/>
            </w14:solidFill>
          </w14:textFill>
        </w:rPr>
        <w:t>timber-</w:t>
      </w:r>
      <w:r>
        <w:rPr>
          <w:outline w:val="0"/>
          <w:color w:val="1c1a16"/>
          <w:u w:color="1c1a16"/>
          <w:rtl w:val="0"/>
          <w:lang w:val="en-US"/>
          <w14:textFill>
            <w14:solidFill>
              <w14:srgbClr w14:val="1C1A16"/>
            </w14:solidFill>
          </w14:textFill>
        </w:rPr>
        <w:t>industry-funded science as the basis for wildfire and forest ecology analysis;</w:t>
      </w:r>
    </w:p>
    <w:p>
      <w:pPr>
        <w:pStyle w:val="List Paragraph"/>
        <w:numPr>
          <w:ilvl w:val="0"/>
          <w:numId w:val="28"/>
        </w:numPr>
        <w:spacing w:before="50" w:after="50"/>
        <w:rPr>
          <w:lang w:val="en-US"/>
        </w:rPr>
      </w:pPr>
      <w:r>
        <w:rPr>
          <w:outline w:val="0"/>
          <w:color w:val="1c1a16"/>
          <w:u w:color="1c1a16"/>
          <w:rtl w:val="0"/>
          <w:lang w:val="en-US"/>
          <w14:textFill>
            <w14:solidFill>
              <w14:srgbClr w14:val="1C1A16"/>
            </w14:solidFill>
          </w14:textFill>
        </w:rPr>
        <w:t>Analyze all alternatives proposed in Section XIII of this comment as fully developed alternatives in the Draft EIS;</w:t>
      </w:r>
    </w:p>
    <w:p>
      <w:pPr>
        <w:pStyle w:val="List Paragraph"/>
        <w:numPr>
          <w:ilvl w:val="0"/>
          <w:numId w:val="30"/>
        </w:numPr>
        <w:spacing w:before="50" w:after="50"/>
        <w:rPr>
          <w:lang w:val="en-US"/>
        </w:rPr>
      </w:pPr>
      <w:r>
        <w:rPr>
          <w:outline w:val="0"/>
          <w:color w:val="1c1a16"/>
          <w:u w:color="1c1a16"/>
          <w:rtl w:val="0"/>
          <w:lang w:val="en-US"/>
          <w14:textFill>
            <w14:solidFill>
              <w14:srgbClr w14:val="1C1A16"/>
            </w14:solidFill>
          </w14:textFill>
        </w:rPr>
        <w:t>Address each scoping issue identified in Section XIV with a substantive written response;</w:t>
      </w:r>
    </w:p>
    <w:p>
      <w:pPr>
        <w:pStyle w:val="List Paragraph"/>
        <w:numPr>
          <w:ilvl w:val="0"/>
          <w:numId w:val="32"/>
        </w:numPr>
        <w:spacing w:before="50" w:after="50"/>
        <w:rPr>
          <w:lang w:val="en-US"/>
        </w:rPr>
      </w:pPr>
      <w:r>
        <w:rPr>
          <w:outline w:val="0"/>
          <w:color w:val="1c1a16"/>
          <w:u w:color="1c1a16"/>
          <w:rtl w:val="0"/>
          <w:lang w:val="en-US"/>
          <w14:textFill>
            <w14:solidFill>
              <w14:srgbClr w14:val="1C1A16"/>
            </w14:solidFill>
          </w14:textFill>
        </w:rPr>
        <w:t>Retain and strengthen, not reduce, existing ACEC designations in the planning area;</w:t>
      </w:r>
    </w:p>
    <w:p>
      <w:pPr>
        <w:pStyle w:val="List Paragraph"/>
        <w:numPr>
          <w:ilvl w:val="0"/>
          <w:numId w:val="34"/>
        </w:numPr>
        <w:spacing w:before="50" w:after="50"/>
        <w:rPr>
          <w:lang w:val="en-US"/>
        </w:rPr>
      </w:pPr>
      <w:r>
        <w:rPr>
          <w:outline w:val="0"/>
          <w:color w:val="1c1a16"/>
          <w:u w:color="1c1a16"/>
          <w:rtl w:val="0"/>
          <w:lang w:val="en-US"/>
          <w14:textFill>
            <w14:solidFill>
              <w14:srgbClr w14:val="1C1A16"/>
            </w14:solidFill>
          </w14:textFill>
        </w:rPr>
        <w:t>Conduct meaningful government-to-government consultation with all affected Tribal Nations before finalizing the EIS scope;</w:t>
      </w:r>
    </w:p>
    <w:p>
      <w:pPr>
        <w:pStyle w:val="List Paragraph"/>
        <w:numPr>
          <w:ilvl w:val="0"/>
          <w:numId w:val="36"/>
        </w:numPr>
        <w:spacing w:before="50" w:after="50"/>
        <w:rPr>
          <w:lang w:val="en-US"/>
        </w:rPr>
      </w:pPr>
      <w:r>
        <w:rPr>
          <w:outline w:val="0"/>
          <w:color w:val="1c1a16"/>
          <w:u w:color="1c1a16"/>
          <w:rtl w:val="0"/>
          <w:lang w:val="en-US"/>
          <w14:textFill>
            <w14:solidFill>
              <w14:srgbClr w14:val="1C1A16"/>
            </w14:solidFill>
          </w14:textFill>
        </w:rPr>
        <w:t xml:space="preserve">Hold at least </w:t>
      </w:r>
      <w:r>
        <w:rPr>
          <w:outline w:val="0"/>
          <w:color w:val="1c1a16"/>
          <w:u w:color="1c1a16"/>
          <w:rtl w:val="0"/>
          <w:lang w:val="en-US"/>
          <w14:textFill>
            <w14:solidFill>
              <w14:srgbClr w14:val="1C1A16"/>
            </w14:solidFill>
          </w14:textFill>
        </w:rPr>
        <w:t>three</w:t>
      </w:r>
      <w:r>
        <w:rPr>
          <w:outline w:val="0"/>
          <w:color w:val="1c1a16"/>
          <w:u w:color="1c1a16"/>
          <w:rtl w:val="0"/>
          <w:lang w:val="en-US"/>
          <w14:textFill>
            <w14:solidFill>
              <w14:srgbClr w14:val="1C1A16"/>
            </w14:solidFill>
          </w14:textFill>
        </w:rPr>
        <w:t xml:space="preserve"> public meeting</w:t>
      </w:r>
      <w:r>
        <w:rPr>
          <w:outline w:val="0"/>
          <w:color w:val="1c1a16"/>
          <w:u w:color="1c1a16"/>
          <w:rtl w:val="0"/>
          <w:lang w:val="en-US"/>
          <w14:textFill>
            <w14:solidFill>
              <w14:srgbClr w14:val="1C1A16"/>
            </w14:solidFill>
          </w14:textFill>
        </w:rPr>
        <w:t>s</w:t>
      </w:r>
      <w:r>
        <w:rPr>
          <w:outline w:val="0"/>
          <w:color w:val="1c1a16"/>
          <w:u w:color="1c1a16"/>
          <w:rtl w:val="0"/>
          <w:lang w:val="en-US"/>
          <w14:textFill>
            <w14:solidFill>
              <w14:srgbClr w14:val="1C1A16"/>
            </w14:solidFill>
          </w14:textFill>
        </w:rPr>
        <w:t xml:space="preserve"> in Western or Coastal Oregon during the scoping period to allow community members to provide oral testimony.</w:t>
      </w:r>
    </w:p>
    <w:p>
      <w:pPr>
        <w:pStyle w:val="Body"/>
        <w:spacing w:before="80" w:after="80"/>
      </w:pPr>
      <w:r>
        <w:rPr>
          <w:outline w:val="0"/>
          <w:color w:val="1c1a16"/>
          <w:u w:color="1c1a16"/>
          <w:rtl w:val="0"/>
          <w:lang w:val="en-US"/>
          <w14:textFill>
            <w14:solidFill>
              <w14:srgbClr w14:val="1C1A16"/>
            </w14:solidFill>
          </w14:textFill>
        </w:rPr>
        <w:t>We reserve all rights to participate in subsequent stages of this planning process and to seek judicial review of any final Resource Management Plan that does not comply with NEPA, ESA, FLPMA, CWA, APA, NHPA, and all other applicable federal law.</w:t>
      </w:r>
    </w:p>
    <w:p>
      <w:pPr>
        <w:pStyle w:val="Body"/>
      </w:pPr>
      <w:r>
        <w:rPr>
          <w:rFonts w:ascii="Arial Unicode MS" w:cs="Arial Unicode MS" w:hAnsi="Arial Unicode MS" w:eastAsia="Arial Unicode MS"/>
          <w:b w:val="0"/>
          <w:bCs w:val="0"/>
          <w:i w:val="0"/>
          <w:iCs w:val="0"/>
        </w:rPr>
        <w:br w:type="page"/>
      </w:r>
    </w:p>
    <w:p>
      <w:pPr>
        <w:pStyle w:val="Heading"/>
        <w:pBdr>
          <w:top w:val="nil"/>
          <w:left w:val="nil"/>
          <w:bottom w:val="single" w:color="40916c" w:sz="10" w:space="0" w:shadow="0" w:frame="0"/>
          <w:right w:val="nil"/>
        </w:pBdr>
      </w:pPr>
      <w:r>
        <w:rPr>
          <w:rtl w:val="0"/>
          <w:lang w:val="en-US"/>
        </w:rPr>
        <w:t>XVI.  References and Sources</w:t>
      </w:r>
    </w:p>
    <w:p>
      <w:pPr>
        <w:pStyle w:val="Heading 2"/>
      </w:pPr>
      <w:r>
        <w:rPr>
          <w:rtl w:val="0"/>
          <w:lang w:val="en-US"/>
        </w:rPr>
        <w:t>Legal Authorities</w:t>
      </w:r>
    </w:p>
    <w:p>
      <w:pPr>
        <w:pStyle w:val="List Paragraph"/>
        <w:numPr>
          <w:ilvl w:val="0"/>
          <w:numId w:val="38"/>
        </w:numPr>
        <w:spacing w:before="50" w:after="50"/>
        <w:rPr>
          <w:lang w:val="en-US"/>
        </w:rPr>
      </w:pPr>
      <w:r>
        <w:rPr>
          <w:outline w:val="0"/>
          <w:color w:val="1c1a16"/>
          <w:u w:color="1c1a16"/>
          <w:rtl w:val="0"/>
          <w:lang w:val="en-US"/>
          <w14:textFill>
            <w14:solidFill>
              <w14:srgbClr w14:val="1C1A16"/>
            </w14:solidFill>
          </w14:textFill>
        </w:rPr>
        <w:t xml:space="preserve">Oregon and California Revested Railroad Lands Act of 1937 (O&amp;C Act), Pub. L. 75-405, 43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1181a</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1181j</w:t>
      </w:r>
    </w:p>
    <w:p>
      <w:pPr>
        <w:pStyle w:val="List Paragraph"/>
        <w:numPr>
          <w:ilvl w:val="0"/>
          <w:numId w:val="40"/>
        </w:numPr>
        <w:spacing w:before="50" w:after="50"/>
        <w:rPr>
          <w:lang w:val="en-US"/>
        </w:rPr>
      </w:pPr>
      <w:r>
        <w:rPr>
          <w:outline w:val="0"/>
          <w:color w:val="1c1a16"/>
          <w:u w:color="1c1a16"/>
          <w:rtl w:val="0"/>
          <w:lang w:val="en-US"/>
          <w14:textFill>
            <w14:solidFill>
              <w14:srgbClr w14:val="1C1A16"/>
            </w14:solidFill>
          </w14:textFill>
        </w:rPr>
        <w:t xml:space="preserve">Federal Land Policy and Management Act of 1976 (FLPMA), 43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1701 et seq.</w:t>
      </w:r>
    </w:p>
    <w:p>
      <w:pPr>
        <w:pStyle w:val="List Paragraph"/>
        <w:numPr>
          <w:ilvl w:val="0"/>
          <w:numId w:val="42"/>
        </w:numPr>
        <w:spacing w:before="50" w:after="50"/>
        <w:rPr>
          <w:lang w:val="en-US"/>
        </w:rPr>
      </w:pPr>
      <w:r>
        <w:rPr>
          <w:outline w:val="0"/>
          <w:color w:val="1c1a16"/>
          <w:u w:color="1c1a16"/>
          <w:rtl w:val="0"/>
          <w:lang w:val="en-US"/>
          <w14:textFill>
            <w14:solidFill>
              <w14:srgbClr w14:val="1C1A16"/>
            </w14:solidFill>
          </w14:textFill>
        </w:rPr>
        <w:t xml:space="preserve">National Environmental Policy Act of 1969 (NEPA), 42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4321 et seq.; CEQ regulations 40 C.F.R. Parts 1500</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1508</w:t>
      </w:r>
    </w:p>
    <w:p>
      <w:pPr>
        <w:pStyle w:val="List Paragraph"/>
        <w:numPr>
          <w:ilvl w:val="0"/>
          <w:numId w:val="44"/>
        </w:numPr>
        <w:spacing w:before="50" w:after="50"/>
        <w:rPr>
          <w:lang w:val="en-US"/>
        </w:rPr>
      </w:pPr>
      <w:r>
        <w:rPr>
          <w:outline w:val="0"/>
          <w:color w:val="1c1a16"/>
          <w:u w:color="1c1a16"/>
          <w:rtl w:val="0"/>
          <w:lang w:val="en-US"/>
          <w14:textFill>
            <w14:solidFill>
              <w14:srgbClr w14:val="1C1A16"/>
            </w14:solidFill>
          </w14:textFill>
        </w:rPr>
        <w:t xml:space="preserve">Endangered Species Act of 1973 (ESA), 16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1531 et seq.</w:t>
      </w:r>
    </w:p>
    <w:p>
      <w:pPr>
        <w:pStyle w:val="List Paragraph"/>
        <w:numPr>
          <w:ilvl w:val="0"/>
          <w:numId w:val="46"/>
        </w:numPr>
        <w:spacing w:before="50" w:after="50"/>
        <w:rPr>
          <w:lang w:val="en-US"/>
        </w:rPr>
      </w:pPr>
      <w:r>
        <w:rPr>
          <w:outline w:val="0"/>
          <w:color w:val="1c1a16"/>
          <w:u w:color="1c1a16"/>
          <w:rtl w:val="0"/>
          <w:lang w:val="en-US"/>
          <w14:textFill>
            <w14:solidFill>
              <w14:srgbClr w14:val="1C1A16"/>
            </w14:solidFill>
          </w14:textFill>
        </w:rPr>
        <w:t xml:space="preserve">Clean Water Act (CWA), 33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1251 et seq.</w:t>
      </w:r>
    </w:p>
    <w:p>
      <w:pPr>
        <w:pStyle w:val="List Paragraph"/>
        <w:numPr>
          <w:ilvl w:val="0"/>
          <w:numId w:val="48"/>
        </w:numPr>
        <w:spacing w:before="50" w:after="50"/>
        <w:rPr>
          <w:lang w:val="en-US"/>
        </w:rPr>
      </w:pPr>
      <w:r>
        <w:rPr>
          <w:outline w:val="0"/>
          <w:color w:val="1c1a16"/>
          <w:u w:color="1c1a16"/>
          <w:rtl w:val="0"/>
          <w:lang w:val="en-US"/>
          <w14:textFill>
            <w14:solidFill>
              <w14:srgbClr w14:val="1C1A16"/>
            </w14:solidFill>
          </w14:textFill>
        </w:rPr>
        <w:t xml:space="preserve">National Historic Preservation Act (NHPA), 54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300101 et seq.</w:t>
      </w:r>
    </w:p>
    <w:p>
      <w:pPr>
        <w:pStyle w:val="List Paragraph"/>
        <w:numPr>
          <w:ilvl w:val="0"/>
          <w:numId w:val="50"/>
        </w:numPr>
        <w:spacing w:before="50" w:after="50"/>
        <w:rPr>
          <w:lang w:val="en-US"/>
        </w:rPr>
      </w:pPr>
      <w:r>
        <w:rPr>
          <w:outline w:val="0"/>
          <w:color w:val="1c1a16"/>
          <w:u w:color="1c1a16"/>
          <w:rtl w:val="0"/>
          <w:lang w:val="en-US"/>
          <w14:textFill>
            <w14:solidFill>
              <w14:srgbClr w14:val="1C1A16"/>
            </w14:solidFill>
          </w14:textFill>
        </w:rPr>
        <w:t xml:space="preserve">Administrative Procedure Act (APA), 5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551 et seq.</w:t>
      </w:r>
    </w:p>
    <w:p>
      <w:pPr>
        <w:pStyle w:val="List Paragraph"/>
        <w:numPr>
          <w:ilvl w:val="0"/>
          <w:numId w:val="52"/>
        </w:numPr>
        <w:spacing w:before="50" w:after="50"/>
        <w:rPr>
          <w:lang w:val="en-US"/>
        </w:rPr>
      </w:pPr>
      <w:r>
        <w:rPr>
          <w:outline w:val="0"/>
          <w:color w:val="1c1a16"/>
          <w:u w:color="1c1a16"/>
          <w:rtl w:val="0"/>
          <w:lang w:val="en-US"/>
          <w14:textFill>
            <w14:solidFill>
              <w14:srgbClr w14:val="1C1A16"/>
            </w14:solidFill>
          </w14:textFill>
        </w:rPr>
        <w:t xml:space="preserve">Magnuson-Stevens Fishery Conservation and Management Act, 16 U.S.C. </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1801 et seq.</w:t>
      </w:r>
    </w:p>
    <w:p>
      <w:pPr>
        <w:pStyle w:val="Heading 2"/>
      </w:pPr>
      <w:r>
        <w:rPr>
          <w:rtl w:val="0"/>
          <w:lang w:val="en-US"/>
        </w:rPr>
        <w:t>Scientific Literature</w:t>
      </w:r>
    </w:p>
    <w:p>
      <w:pPr>
        <w:pStyle w:val="List Paragraph"/>
        <w:numPr>
          <w:ilvl w:val="0"/>
          <w:numId w:val="54"/>
        </w:numPr>
        <w:spacing w:before="50" w:after="50"/>
        <w:rPr>
          <w:lang w:val="en-US"/>
        </w:rPr>
      </w:pPr>
      <w:r>
        <w:rPr>
          <w:outline w:val="0"/>
          <w:color w:val="1c1a16"/>
          <w:u w:color="1c1a16"/>
          <w:rtl w:val="0"/>
          <w:lang w:val="en-US"/>
          <w14:textFill>
            <w14:solidFill>
              <w14:srgbClr w14:val="1C1A16"/>
            </w14:solidFill>
          </w14:textFill>
        </w:rPr>
        <w:t xml:space="preserve">Hanson, C.T. (2021). The Myth of </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Catastrophic</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Wildfire. John Muir Project Technical Report.</w:t>
      </w:r>
    </w:p>
    <w:p>
      <w:pPr>
        <w:pStyle w:val="List Paragraph"/>
        <w:numPr>
          <w:ilvl w:val="0"/>
          <w:numId w:val="56"/>
        </w:numPr>
        <w:spacing w:before="50" w:after="50"/>
        <w:rPr>
          <w:lang w:val="en-US"/>
        </w:rPr>
      </w:pPr>
      <w:r>
        <w:rPr>
          <w:outline w:val="0"/>
          <w:color w:val="1c1a16"/>
          <w:u w:color="1c1a16"/>
          <w:rtl w:val="0"/>
          <w:lang w:val="en-US"/>
          <w14:textFill>
            <w14:solidFill>
              <w14:srgbClr w14:val="1C1A16"/>
            </w14:solidFill>
          </w14:textFill>
        </w:rPr>
        <w:t>DellaSalla, D.A. &amp; Hanson, C.T. (Eds.) (2019). The Ecological Importance of Mixed-Severity Fires: Nature</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s Phoenix. Elsevier.</w:t>
      </w:r>
    </w:p>
    <w:p>
      <w:pPr>
        <w:pStyle w:val="List Paragraph"/>
        <w:numPr>
          <w:ilvl w:val="0"/>
          <w:numId w:val="58"/>
        </w:numPr>
        <w:spacing w:before="50" w:after="50"/>
        <w:rPr>
          <w:lang w:val="en-US"/>
        </w:rPr>
      </w:pPr>
      <w:r>
        <w:rPr>
          <w:outline w:val="0"/>
          <w:color w:val="1c1a16"/>
          <w:u w:color="1c1a16"/>
          <w:rtl w:val="0"/>
          <w:lang w:val="en-US"/>
          <w14:textFill>
            <w14:solidFill>
              <w14:srgbClr w14:val="1C1A16"/>
            </w14:solidFill>
          </w14:textFill>
        </w:rPr>
        <w:t>Rhodes, J.J. &amp; Baker, W.L. (2008). Fire probability, fuel treatment effectiveness and ecological tradeoffs in western U.S. public forests. Open Forest Science Journal.</w:t>
      </w:r>
    </w:p>
    <w:p>
      <w:pPr>
        <w:pStyle w:val="List Paragraph"/>
        <w:numPr>
          <w:ilvl w:val="0"/>
          <w:numId w:val="60"/>
        </w:numPr>
        <w:spacing w:before="50" w:after="50"/>
        <w:rPr>
          <w:lang w:val="en-US"/>
        </w:rPr>
      </w:pPr>
      <w:r>
        <w:rPr>
          <w:outline w:val="0"/>
          <w:color w:val="1c1a16"/>
          <w:u w:color="1c1a16"/>
          <w:rtl w:val="0"/>
          <w:lang w:val="en-US"/>
          <w14:textFill>
            <w14:solidFill>
              <w14:srgbClr w14:val="1C1A16"/>
            </w14:solidFill>
          </w14:textFill>
        </w:rPr>
        <w:t>Willer, C. Coast Range Association (CRA). Scoping submission on moist and wet forest fire resistance for the Northwest Forest Plan (NWFP) process.</w:t>
      </w:r>
    </w:p>
    <w:p>
      <w:pPr>
        <w:pStyle w:val="List Paragraph"/>
        <w:numPr>
          <w:ilvl w:val="0"/>
          <w:numId w:val="62"/>
        </w:numPr>
        <w:spacing w:before="50" w:after="50"/>
        <w:rPr>
          <w:lang w:val="en-US"/>
        </w:rPr>
      </w:pPr>
      <w:r>
        <w:rPr>
          <w:outline w:val="0"/>
          <w:color w:val="1c1a16"/>
          <w:u w:color="1c1a16"/>
          <w:rtl w:val="0"/>
          <w:lang w:val="en-US"/>
          <w14:textFill>
            <w14:solidFill>
              <w14:srgbClr w14:val="1C1A16"/>
            </w14:solidFill>
          </w14:textFill>
        </w:rPr>
        <w:t>Van Strum, C. (1983). A Bitter Fog: Herbicides and Human Rights. Sierra Club Books.</w:t>
      </w:r>
    </w:p>
    <w:p>
      <w:pPr>
        <w:pStyle w:val="List Paragraph"/>
        <w:numPr>
          <w:ilvl w:val="0"/>
          <w:numId w:val="64"/>
        </w:numPr>
        <w:spacing w:before="50" w:after="50"/>
        <w:rPr>
          <w:lang w:val="en-US"/>
        </w:rPr>
      </w:pPr>
      <w:r>
        <w:rPr>
          <w:outline w:val="0"/>
          <w:color w:val="1c1a16"/>
          <w:u w:color="1c1a16"/>
          <w:rtl w:val="0"/>
          <w:lang w:val="en-US"/>
          <w14:textFill>
            <w14:solidFill>
              <w14:srgbClr w14:val="1C1A16"/>
            </w14:solidFill>
          </w14:textFill>
        </w:rPr>
        <w:t>Carson, R. (1962). Silent Spring. Houghton Mifflin.</w:t>
      </w:r>
    </w:p>
    <w:p>
      <w:pPr>
        <w:pStyle w:val="Heading 2"/>
      </w:pPr>
      <w:r>
        <w:rPr>
          <w:rtl w:val="0"/>
          <w:lang w:val="en-US"/>
        </w:rPr>
        <w:t>Economic and Employment Data</w:t>
      </w:r>
    </w:p>
    <w:p>
      <w:pPr>
        <w:pStyle w:val="List Paragraph"/>
        <w:numPr>
          <w:ilvl w:val="0"/>
          <w:numId w:val="66"/>
        </w:numPr>
        <w:spacing w:before="50" w:after="50"/>
        <w:rPr>
          <w:lang w:val="en-US"/>
        </w:rPr>
      </w:pPr>
      <w:r>
        <w:rPr>
          <w:outline w:val="0"/>
          <w:color w:val="1c1a16"/>
          <w:u w:color="1c1a16"/>
          <w:rtl w:val="0"/>
          <w:lang w:val="en-US"/>
          <w14:textFill>
            <w14:solidFill>
              <w14:srgbClr w14:val="1C1A16"/>
            </w14:solidFill>
          </w14:textFill>
        </w:rPr>
        <w:t>Oregon Employment Department, Employment by Industry reports, 1950</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2025.</w:t>
      </w:r>
    </w:p>
    <w:p>
      <w:pPr>
        <w:pStyle w:val="List Paragraph"/>
        <w:numPr>
          <w:ilvl w:val="0"/>
          <w:numId w:val="68"/>
        </w:numPr>
        <w:spacing w:before="50" w:after="50"/>
        <w:rPr>
          <w:lang w:val="en-US"/>
        </w:rPr>
      </w:pPr>
      <w:r>
        <w:rPr>
          <w:outline w:val="0"/>
          <w:color w:val="1c1a16"/>
          <w:u w:color="1c1a16"/>
          <w:rtl w:val="0"/>
          <w:lang w:val="en-US"/>
          <w14:textFill>
            <w14:solidFill>
              <w14:srgbClr w14:val="1C1A16"/>
            </w14:solidFill>
          </w14:textFill>
        </w:rPr>
        <w:t>Bureau of Labor Statistics (BLS), Occupational Employment and Wage Statistics, Logging and Forest Products sectors.</w:t>
      </w:r>
    </w:p>
    <w:p>
      <w:pPr>
        <w:pStyle w:val="List Paragraph"/>
        <w:numPr>
          <w:ilvl w:val="0"/>
          <w:numId w:val="70"/>
        </w:numPr>
        <w:spacing w:before="50" w:after="50"/>
        <w:rPr>
          <w:lang w:val="en-US"/>
        </w:rPr>
      </w:pPr>
      <w:r>
        <w:rPr>
          <w:outline w:val="0"/>
          <w:color w:val="1c1a16"/>
          <w:u w:color="1c1a16"/>
          <w:rtl w:val="0"/>
          <w:lang w:val="en-US"/>
          <w14:textFill>
            <w14:solidFill>
              <w14:srgbClr w14:val="1C1A16"/>
            </w14:solidFill>
          </w14:textFill>
        </w:rPr>
        <w:t>Congressional Research Service (CRS) Report R40099: Reauthorization of the Secure Rural Schools and Community Self-Determination Act.</w:t>
      </w:r>
    </w:p>
    <w:p>
      <w:pPr>
        <w:pStyle w:val="List Paragraph"/>
        <w:numPr>
          <w:ilvl w:val="0"/>
          <w:numId w:val="72"/>
        </w:numPr>
        <w:spacing w:before="50" w:after="50"/>
        <w:rPr>
          <w:lang w:val="en-US"/>
        </w:rPr>
      </w:pPr>
      <w:r>
        <w:rPr>
          <w:outline w:val="0"/>
          <w:color w:val="1c1a16"/>
          <w:u w:color="1c1a16"/>
          <w:rtl w:val="0"/>
          <w:lang w:val="en-US"/>
          <w14:textFill>
            <w14:solidFill>
              <w14:srgbClr w14:val="1C1A16"/>
            </w14:solidFill>
          </w14:textFill>
        </w:rPr>
        <w:t>Headwaters Economics, Recreation Economy research reports for Oregon Coast counties.</w:t>
      </w:r>
    </w:p>
    <w:p>
      <w:pPr>
        <w:pStyle w:val="List Paragraph"/>
        <w:numPr>
          <w:ilvl w:val="0"/>
          <w:numId w:val="74"/>
        </w:numPr>
        <w:spacing w:before="50" w:after="50"/>
        <w:rPr>
          <w:lang w:val="en-US"/>
        </w:rPr>
      </w:pPr>
      <w:r>
        <w:rPr>
          <w:outline w:val="0"/>
          <w:color w:val="1c1a16"/>
          <w:u w:color="1c1a16"/>
          <w:rtl w:val="0"/>
          <w:lang w:val="en-US"/>
          <w14:textFill>
            <w14:solidFill>
              <w14:srgbClr w14:val="1C1A16"/>
            </w14:solidFill>
          </w14:textFill>
        </w:rPr>
        <w:t>Oregon Coast Visitors Association, annual economic impact analysis.</w:t>
      </w:r>
    </w:p>
    <w:p>
      <w:pPr>
        <w:pStyle w:val="Heading 2"/>
      </w:pPr>
      <w:r>
        <w:rPr>
          <w:rtl w:val="0"/>
          <w:lang w:val="en-US"/>
        </w:rPr>
        <w:t>Government Records</w:t>
      </w:r>
    </w:p>
    <w:p>
      <w:pPr>
        <w:pStyle w:val="List Paragraph"/>
        <w:numPr>
          <w:ilvl w:val="0"/>
          <w:numId w:val="76"/>
        </w:numPr>
        <w:spacing w:before="50" w:after="50"/>
        <w:rPr>
          <w:lang w:val="en-US"/>
        </w:rPr>
      </w:pPr>
      <w:r>
        <w:rPr>
          <w:outline w:val="0"/>
          <w:color w:val="1c1a16"/>
          <w:u w:color="1c1a16"/>
          <w:rtl w:val="0"/>
          <w:lang w:val="en-US"/>
          <w14:textFill>
            <w14:solidFill>
              <w14:srgbClr w14:val="1C1A16"/>
            </w14:solidFill>
          </w14:textFill>
        </w:rPr>
        <w:t>BLM Oregon/Washington State Office, Western Oregon timber harvest records, 1940</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2025.</w:t>
      </w:r>
    </w:p>
    <w:p>
      <w:pPr>
        <w:pStyle w:val="List Paragraph"/>
        <w:numPr>
          <w:ilvl w:val="0"/>
          <w:numId w:val="78"/>
        </w:numPr>
        <w:spacing w:before="50" w:after="50"/>
        <w:rPr>
          <w:lang w:val="en-US"/>
        </w:rPr>
      </w:pPr>
      <w:r>
        <w:rPr>
          <w:outline w:val="0"/>
          <w:color w:val="1c1a16"/>
          <w:u w:color="1c1a16"/>
          <w:rtl w:val="0"/>
          <w:lang w:val="en-US"/>
          <w14:textFill>
            <w14:solidFill>
              <w14:srgbClr w14:val="1C1A16"/>
            </w14:solidFill>
          </w14:textFill>
        </w:rPr>
        <w:t>USFS Pacific Northwest Research Station, forest inventory and analysis data.</w:t>
      </w:r>
    </w:p>
    <w:p>
      <w:pPr>
        <w:pStyle w:val="List Paragraph"/>
        <w:numPr>
          <w:ilvl w:val="0"/>
          <w:numId w:val="80"/>
        </w:numPr>
        <w:spacing w:before="50" w:after="50"/>
        <w:rPr>
          <w:lang w:val="en-US"/>
        </w:rPr>
      </w:pPr>
      <w:r>
        <w:rPr>
          <w:outline w:val="0"/>
          <w:color w:val="1c1a16"/>
          <w:u w:color="1c1a16"/>
          <w:rtl w:val="0"/>
          <w:lang w:val="en-US"/>
          <w14:textFill>
            <w14:solidFill>
              <w14:srgbClr w14:val="1C1A16"/>
            </w14:solidFill>
          </w14:textFill>
        </w:rPr>
        <w:t>National Interagency Fire Center (NIFC), federal lands wildfire statistics, 2000</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2025.</w:t>
      </w:r>
    </w:p>
    <w:p>
      <w:pPr>
        <w:pStyle w:val="List Paragraph"/>
        <w:numPr>
          <w:ilvl w:val="0"/>
          <w:numId w:val="82"/>
        </w:numPr>
        <w:spacing w:before="50" w:after="50"/>
        <w:rPr>
          <w:lang w:val="en-US"/>
        </w:rPr>
      </w:pPr>
      <w:r>
        <w:rPr>
          <w:outline w:val="0"/>
          <w:color w:val="1c1a16"/>
          <w:u w:color="1c1a16"/>
          <w:rtl w:val="0"/>
          <w:lang w:val="en-US"/>
          <w14:textFill>
            <w14:solidFill>
              <w14:srgbClr w14:val="1C1A16"/>
            </w14:solidFill>
          </w14:textFill>
        </w:rPr>
        <w:t>Oregon Department of Environmental Quality (DEQ), Lincoln County airshed monitoring data.</w:t>
      </w:r>
    </w:p>
    <w:p>
      <w:pPr>
        <w:pStyle w:val="List Paragraph"/>
        <w:numPr>
          <w:ilvl w:val="0"/>
          <w:numId w:val="84"/>
        </w:numPr>
        <w:spacing w:before="50" w:after="50"/>
        <w:rPr>
          <w:lang w:val="en-US"/>
        </w:rPr>
      </w:pPr>
      <w:r>
        <w:rPr>
          <w:outline w:val="0"/>
          <w:color w:val="1c1a16"/>
          <w:u w:color="1c1a16"/>
          <w:rtl w:val="0"/>
          <w:lang w:val="en-US"/>
          <w14:textFill>
            <w14:solidFill>
              <w14:srgbClr w14:val="1C1A16"/>
            </w14:solidFill>
          </w14:textFill>
        </w:rPr>
        <w:t>U.S. Department of Labor (DOL), H-2B Temporary Agricultural Worker program statistics.</w:t>
      </w:r>
    </w:p>
    <w:p>
      <w:pPr>
        <w:pStyle w:val="List Paragraph"/>
        <w:numPr>
          <w:ilvl w:val="0"/>
          <w:numId w:val="86"/>
        </w:numPr>
        <w:spacing w:before="50" w:after="50"/>
        <w:rPr>
          <w:lang w:val="en-US"/>
        </w:rPr>
      </w:pPr>
      <w:r>
        <w:rPr>
          <w:outline w:val="0"/>
          <w:color w:val="1c1a16"/>
          <w:u w:color="1c1a16"/>
          <w:rtl w:val="0"/>
          <w:lang w:val="en-US"/>
          <w14:textFill>
            <w14:solidFill>
              <w14:srgbClr w14:val="1C1A16"/>
            </w14:solidFill>
          </w14:textFill>
        </w:rPr>
        <w:t>EPA Administrative Record, 2,4,5-T emergency suspension (1979) and cancellation (1985).</w:t>
      </w:r>
    </w:p>
    <w:p>
      <w:pPr>
        <w:pStyle w:val="Body"/>
      </w:pPr>
      <w:r>
        <w:rPr>
          <w:rtl w:val="0"/>
        </w:rPr>
        <w:t xml:space="preserve"> </w:t>
      </w:r>
    </w:p>
    <w:p>
      <w:pPr>
        <w:pStyle w:val="Heading"/>
        <w:pBdr>
          <w:top w:val="nil"/>
          <w:left w:val="nil"/>
          <w:bottom w:val="single" w:color="40916c" w:sz="10" w:space="0" w:shadow="0" w:frame="0"/>
          <w:right w:val="nil"/>
        </w:pBdr>
      </w:pPr>
    </w:p>
    <w:p>
      <w:pPr>
        <w:pStyle w:val="Heading"/>
        <w:pBdr>
          <w:top w:val="nil"/>
          <w:left w:val="nil"/>
          <w:bottom w:val="single" w:color="40916c" w:sz="10" w:space="0" w:shadow="0" w:frame="0"/>
          <w:right w:val="nil"/>
        </w:pBdr>
      </w:pPr>
      <w:r>
        <w:rPr>
          <w:rtl w:val="0"/>
          <w:lang w:val="en-US"/>
        </w:rPr>
        <w:t>XVII.  Collective Community Endorsement and Signature Pages</w:t>
      </w:r>
    </w:p>
    <w:p>
      <w:pPr>
        <w:pStyle w:val="Body"/>
        <w:spacing w:before="80" w:after="80"/>
      </w:pPr>
      <w:r>
        <w:rPr>
          <w:outline w:val="0"/>
          <w:color w:val="1c1a16"/>
          <w:u w:color="1c1a16"/>
          <w:rtl w:val="0"/>
          <w:lang w:val="en-US"/>
          <w14:textFill>
            <w14:solidFill>
              <w14:srgbClr w14:val="1C1A16"/>
            </w14:solidFill>
          </w14:textFill>
        </w:rPr>
        <w:t>The comments set forth in this document are submitted as a collective community response on behalf of all undersigned residents, property owners, business operators, recreational users, hunters, anglers, organizations, visitors and concerned citizens of Western and Coastal Oregon, and beyond. Each person who signs below individually affirms and adopts these scoping comments as their own formal submission to the BLM scoping record.</w:t>
      </w:r>
    </w:p>
    <w:p>
      <w:pPr>
        <w:pStyle w:val="Body"/>
        <w:pBdr>
          <w:top w:val="single" w:color="c89b3c" w:sz="8" w:space="0" w:shadow="0" w:frame="0"/>
          <w:left w:val="single" w:color="c89b3c" w:sz="8" w:space="0" w:shadow="0" w:frame="0"/>
          <w:bottom w:val="nil"/>
          <w:right w:val="single" w:color="c89b3c" w:sz="8" w:space="0" w:shadow="0" w:frame="0"/>
        </w:pBdr>
        <w:shd w:val="clear" w:color="auto" w:fill="fdf8ed"/>
        <w:spacing w:before="200"/>
        <w:ind w:left="180" w:right="180" w:firstLine="0"/>
      </w:pPr>
      <w:r>
        <w:rPr>
          <w:b w:val="1"/>
          <w:bCs w:val="1"/>
          <w:outline w:val="0"/>
          <w:color w:val="1a3d2b"/>
          <w:sz w:val="23"/>
          <w:szCs w:val="23"/>
          <w:u w:color="1a3d2b"/>
          <w:rtl w:val="0"/>
          <w:lang w:val="en-US"/>
          <w14:textFill>
            <w14:solidFill>
              <w14:srgbClr w14:val="1A3D2B"/>
            </w14:solidFill>
          </w14:textFill>
        </w:rPr>
        <w:t>Legal Effect of Collective Endorsement</w:t>
      </w:r>
    </w:p>
    <w:p>
      <w:pPr>
        <w:pStyle w:val="Body"/>
        <w:pBdr>
          <w:top w:val="nil"/>
          <w:left w:val="single" w:color="c89b3c" w:sz="18" w:space="6" w:shadow="0" w:frame="0"/>
          <w:bottom w:val="nil"/>
          <w:right w:val="single" w:color="c89b3c" w:sz="18" w:space="6" w:shadow="0" w:frame="0"/>
        </w:pBdr>
        <w:shd w:val="clear" w:color="auto" w:fill="fdf8ed"/>
        <w:ind w:left="180" w:right="180" w:firstLine="0"/>
      </w:pPr>
      <w:r>
        <w:rPr>
          <w:i w:val="1"/>
          <w:iCs w:val="1"/>
          <w:outline w:val="0"/>
          <w:color w:val="1c1a16"/>
          <w:sz w:val="21"/>
          <w:szCs w:val="21"/>
          <w:u w:color="1c1a16"/>
          <w:rtl w:val="0"/>
          <w:lang w:val="en-US"/>
          <w14:textFill>
            <w14:solidFill>
              <w14:srgbClr w14:val="1C1A16"/>
            </w14:solidFill>
          </w14:textFill>
        </w:rPr>
        <w:t xml:space="preserve">Each individual signature constitutes a separate, independent formal scoping comment under 40 C.F.R. </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1503.1. By signing, each person individually establishes their participation in the public scoping process, preserves their right to comment on the Draft RMP/EIS, and preserves potential legal standing to challenge a final RMP that fails to comply with applicable federal law.</w:t>
      </w:r>
    </w:p>
    <w:p>
      <w:pPr>
        <w:pStyle w:val="Body"/>
        <w:pBdr>
          <w:top w:val="nil"/>
          <w:left w:val="single" w:color="c89b3c" w:sz="8" w:space="0" w:shadow="0" w:frame="0"/>
          <w:bottom w:val="single" w:color="c89b3c" w:sz="8" w:space="0" w:shadow="0" w:frame="0"/>
          <w:right w:val="single" w:color="c89b3c" w:sz="8" w:space="0" w:shadow="0" w:frame="0"/>
        </w:pBdr>
        <w:shd w:val="clear" w:color="auto" w:fill="fdf8ed"/>
        <w:spacing w:after="200"/>
        <w:ind w:left="180" w:right="180" w:firstLine="0"/>
      </w:pPr>
      <w:r>
        <w:rPr>
          <w:i w:val="1"/>
          <w:iCs w:val="1"/>
          <w:outline w:val="0"/>
          <w:color w:val="1c1a16"/>
          <w:sz w:val="21"/>
          <w:szCs w:val="21"/>
          <w:u w:color="1c1a16"/>
          <w:rtl w:val="0"/>
          <w:lang w:val="en-US"/>
          <w14:textFill>
            <w14:solidFill>
              <w14:srgbClr w14:val="1C1A16"/>
            </w14:solidFill>
          </w14:textFill>
        </w:rPr>
        <w:t>Organizers: Make copies of completed signature pages and submit to BLM by March 23, 2026 via certified mail AND upload scanned copies at https://eplanning.blm.gov under Project No. DOI-BLM-ORWA-0000-2026-0001-RMP-EIS.</w:t>
      </w:r>
    </w:p>
    <w:p>
      <w:pPr>
        <w:pStyle w:val="Body"/>
        <w:pBdr>
          <w:top w:val="nil"/>
          <w:left w:val="nil"/>
          <w:bottom w:val="single" w:color="40916c" w:sz="6" w:space="0" w:shadow="0" w:frame="0"/>
          <w:right w:val="nil"/>
        </w:pBdr>
        <w:spacing w:before="200" w:after="120"/>
      </w:pPr>
      <w:r>
        <w:rPr>
          <w:b w:val="1"/>
          <w:bCs w:val="1"/>
          <w:outline w:val="0"/>
          <w:color w:val="1a3d2b"/>
          <w:sz w:val="24"/>
          <w:szCs w:val="24"/>
          <w:u w:color="1a3d2b"/>
          <w:rtl w:val="0"/>
          <w:lang w:val="en-US"/>
          <w14:textFill>
            <w14:solidFill>
              <w14:srgbClr w14:val="1A3D2B"/>
            </w14:solidFill>
          </w14:textFill>
        </w:rPr>
        <w:t>Collective Statement of Endorsement</w:t>
      </w:r>
    </w:p>
    <w:p>
      <w:pPr>
        <w:pStyle w:val="Body"/>
        <w:spacing w:before="80" w:after="80"/>
        <w:rPr>
          <w:outline w:val="0"/>
          <w:color w:val="1c1a16"/>
          <w:u w:color="1c1a16"/>
          <w14:textFill>
            <w14:solidFill>
              <w14:srgbClr w14:val="1C1A16"/>
            </w14:solidFill>
          </w14:textFill>
        </w:rPr>
      </w:pPr>
      <w:r>
        <w:rPr>
          <w:rtl w:val="0"/>
          <w:lang w:val="en-US"/>
        </w:rPr>
        <w:t xml:space="preserve">     </w:t>
      </w:r>
      <w:r>
        <w:rPr>
          <w:outline w:val="0"/>
          <w:color w:val="1c1a16"/>
          <w:u w:color="1c1a16"/>
          <w:rtl w:val="0"/>
          <w:lang w:val="en-US"/>
          <w14:textFill>
            <w14:solidFill>
              <w14:srgbClr w14:val="1C1A16"/>
            </w14:solidFill>
          </w14:textFill>
        </w:rPr>
        <w:t xml:space="preserve">We, the undersigned residents and community members of </w:t>
      </w:r>
      <w:r>
        <w:rPr>
          <w:outline w:val="0"/>
          <w:color w:val="1c1a16"/>
          <w:u w:color="1c1a16"/>
          <w:rtl w:val="0"/>
          <w:lang w:val="en-US"/>
          <w14:textFill>
            <w14:solidFill>
              <w14:srgbClr w14:val="1C1A16"/>
            </w14:solidFill>
          </w14:textFill>
        </w:rPr>
        <w:t xml:space="preserve">the </w:t>
      </w:r>
      <w:r>
        <w:rPr>
          <w:outline w:val="0"/>
          <w:color w:val="1c1a16"/>
          <w:u w:color="1c1a16"/>
          <w:rtl w:val="0"/>
          <w:lang w:val="en-US"/>
          <w14:textFill>
            <w14:solidFill>
              <w14:srgbClr w14:val="1C1A16"/>
            </w14:solidFill>
          </w14:textFill>
        </w:rPr>
        <w:t>Coastal Oregon region, collectively submit these scoping comments in opposition to the proposed revision of the Northwestern and Coastal Oregon Resource Management Plan and Southwestern Oregon Resource Management Plan as currently scoped by the Bureau of Land Management (BLM).</w:t>
      </w:r>
    </w:p>
    <w:p>
      <w:pPr>
        <w:pStyle w:val="Body"/>
        <w:spacing w:before="80" w:after="80"/>
      </w:pP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We submit these comments because we live here. We fish these rivers and their tributaries. We hike, kayak, hunt and create family memories on public lands. We </w:t>
      </w:r>
      <w:r>
        <w:rPr>
          <w:outline w:val="0"/>
          <w:color w:val="1c1a16"/>
          <w:u w:color="1c1a16"/>
          <w:rtl w:val="0"/>
          <w:lang w:val="en-US"/>
          <w14:textFill>
            <w14:solidFill>
              <w14:srgbClr w14:val="1C1A16"/>
            </w14:solidFill>
          </w14:textFill>
        </w:rPr>
        <w:t xml:space="preserve">benefit from </w:t>
      </w:r>
      <w:r>
        <w:rPr>
          <w:outline w:val="0"/>
          <w:color w:val="1c1a16"/>
          <w:u w:color="1c1a16"/>
          <w:rtl w:val="0"/>
          <w:lang w:val="en-US"/>
          <w14:textFill>
            <w14:solidFill>
              <w14:srgbClr w14:val="1C1A16"/>
            </w14:solidFill>
          </w14:textFill>
        </w:rPr>
        <w:t>businesses that depend on the natural character of the Oregon Coast. We drink water from watersheds protected by diverse, in-tact forests. We breathe the air affected by slash pile burning. We are the rural community this revision claims to benefit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 and we are telling the BLM clearly that the proposed maximum-harvest approach does not represent our interests, does not reflect the economic reality of our communities, and does not reflect the best available science on forests, fire, or water.</w:t>
      </w:r>
    </w:p>
    <w:p>
      <w:pPr>
        <w:pStyle w:val="Body"/>
        <w:spacing w:before="80" w:after="80"/>
        <w:rPr>
          <w:outline w:val="0"/>
          <w:color w:val="1c1a16"/>
          <w:u w:color="1c1a16"/>
          <w14:textFill>
            <w14:solidFill>
              <w14:srgbClr w14:val="1C1A16"/>
            </w14:solidFill>
          </w14:textFill>
        </w:rPr>
      </w:pPr>
      <w:r>
        <w:rPr>
          <w:rtl w:val="0"/>
          <w:lang w:val="en-US"/>
        </w:rPr>
        <w:t xml:space="preserve">     </w:t>
      </w:r>
      <w:r>
        <w:rPr>
          <w:outline w:val="0"/>
          <w:color w:val="1c1a16"/>
          <w:u w:color="1c1a16"/>
          <w:rtl w:val="0"/>
          <w:lang w:val="en-US"/>
          <w14:textFill>
            <w14:solidFill>
              <w14:srgbClr w14:val="1C1A16"/>
            </w14:solidFill>
          </w14:textFill>
        </w:rPr>
        <w:t>We collectively request that the BLM revise the purpose and need statement to reflect an open-ended alternatives analysis; disclose the ESA Section 7 consultation status; conduct a rigorous independent economic analysis including recreation economy</w:t>
      </w:r>
      <w:r>
        <w:rPr>
          <w:outline w:val="0"/>
          <w:color w:val="1c1a16"/>
          <w:u w:color="1c1a16"/>
          <w:rtl w:val="0"/>
          <w:lang w:val="en-US"/>
          <w14:textFill>
            <w14:solidFill>
              <w14:srgbClr w14:val="1C1A16"/>
            </w14:solidFill>
          </w14:textFill>
        </w:rPr>
        <w:t>,</w:t>
      </w:r>
      <w:r>
        <w:rPr>
          <w:outline w:val="0"/>
          <w:color w:val="1c1a16"/>
          <w:u w:color="1c1a16"/>
          <w:rtl w:val="0"/>
          <w:lang w:val="pt-PT"/>
          <w14:textFill>
            <w14:solidFill>
              <w14:srgbClr w14:val="1C1A16"/>
            </w14:solidFill>
          </w14:textFill>
        </w:rPr>
        <w:t xml:space="preserve"> carbon </w:t>
      </w:r>
      <w:r>
        <w:rPr>
          <w:outline w:val="0"/>
          <w:color w:val="1c1a16"/>
          <w:u w:color="1c1a16"/>
          <w:rtl w:val="0"/>
          <w:lang w:val="en-US"/>
          <w14:textFill>
            <w14:solidFill>
              <w14:srgbClr w14:val="1C1A16"/>
            </w14:solidFill>
          </w14:textFill>
        </w:rPr>
        <w:t xml:space="preserve">and other forest and watershed </w:t>
      </w:r>
      <w:r>
        <w:rPr>
          <w:outline w:val="0"/>
          <w:color w:val="1c1a16"/>
          <w:u w:color="1c1a16"/>
          <w:rtl w:val="0"/>
          <w:lang w:val="en-US"/>
          <w14:textFill>
            <w14:solidFill>
              <w14:srgbClr w14:val="1C1A16"/>
            </w14:solidFill>
          </w14:textFill>
        </w:rPr>
        <w:t xml:space="preserve">values; use peer-reviewed science for wildfire and forest ecology analysis; analyze all proposed alternatives in the Draft EIS; retain existing ACEC designations; and hold at least </w:t>
      </w:r>
      <w:r>
        <w:rPr>
          <w:outline w:val="0"/>
          <w:color w:val="1c1a16"/>
          <w:u w:color="1c1a16"/>
          <w:rtl w:val="0"/>
          <w:lang w:val="en-US"/>
          <w14:textFill>
            <w14:solidFill>
              <w14:srgbClr w14:val="1C1A16"/>
            </w14:solidFill>
          </w14:textFill>
        </w:rPr>
        <w:t>three</w:t>
      </w:r>
      <w:r>
        <w:rPr>
          <w:outline w:val="0"/>
          <w:color w:val="1c1a16"/>
          <w:u w:color="1c1a16"/>
          <w:rtl w:val="0"/>
          <w:lang w:val="en-US"/>
          <w14:textFill>
            <w14:solidFill>
              <w14:srgbClr w14:val="1C1A16"/>
            </w14:solidFill>
          </w14:textFill>
        </w:rPr>
        <w:t xml:space="preserve"> public meeting in </w:t>
      </w:r>
      <w:r>
        <w:rPr>
          <w:outline w:val="0"/>
          <w:color w:val="1c1a16"/>
          <w:u w:color="1c1a16"/>
          <w:rtl w:val="0"/>
          <w:lang w:val="en-US"/>
          <w14:textFill>
            <w14:solidFill>
              <w14:srgbClr w14:val="1C1A16"/>
            </w14:solidFill>
          </w14:textFill>
        </w:rPr>
        <w:t xml:space="preserve">the planning areas of </w:t>
      </w:r>
      <w:r>
        <w:rPr>
          <w:outline w:val="0"/>
          <w:color w:val="1c1a16"/>
          <w:u w:color="1c1a16"/>
          <w:rtl w:val="0"/>
          <w:lang w:val="de-DE"/>
          <w14:textFill>
            <w14:solidFill>
              <w14:srgbClr w14:val="1C1A16"/>
            </w14:solidFill>
          </w14:textFill>
        </w:rPr>
        <w:t xml:space="preserve">Western </w:t>
      </w:r>
      <w:r>
        <w:rPr>
          <w:outline w:val="0"/>
          <w:color w:val="1c1a16"/>
          <w:u w:color="1c1a16"/>
          <w:rtl w:val="0"/>
          <w:lang w:val="en-US"/>
          <w14:textFill>
            <w14:solidFill>
              <w14:srgbClr w14:val="1C1A16"/>
            </w14:solidFill>
          </w14:textFill>
        </w:rPr>
        <w:t>and</w:t>
      </w:r>
      <w:r>
        <w:rPr>
          <w:outline w:val="0"/>
          <w:color w:val="1c1a16"/>
          <w:u w:color="1c1a16"/>
          <w:rtl w:val="0"/>
          <w:lang w:val="en-US"/>
          <w14:textFill>
            <w14:solidFill>
              <w14:srgbClr w14:val="1C1A16"/>
            </w14:solidFill>
          </w14:textFill>
        </w:rPr>
        <w:t xml:space="preserve"> Coastal Oregon during the scoping period.</w:t>
      </w: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120" w:after="80"/>
      </w:pPr>
      <w:r>
        <w:rPr>
          <w:b w:val="1"/>
          <w:bCs w:val="1"/>
          <w:outline w:val="0"/>
          <w:color w:val="1a3d2b"/>
          <w:sz w:val="20"/>
          <w:szCs w:val="20"/>
          <w:u w:color="1a3d2b"/>
          <w:rtl w:val="0"/>
          <w:lang w:val="en-US"/>
          <w14:textFill>
            <w14:solidFill>
              <w14:srgbClr w14:val="1A3D2B"/>
            </w14:solidFill>
          </w14:textFill>
        </w:rPr>
        <w:t>Privacy Notice</w:t>
      </w:r>
    </w:p>
    <w:p>
      <w:pPr>
        <w:pStyle w:val="Body"/>
        <w:spacing w:before="80" w:after="80"/>
        <w:rPr>
          <w:outline w:val="0"/>
          <w:color w:val="1c1a16"/>
          <w:u w:color="1c1a16"/>
          <w14:textFill>
            <w14:solidFill>
              <w14:srgbClr w14:val="1C1A16"/>
            </w14:solidFill>
          </w14:textFill>
        </w:rPr>
      </w:pPr>
      <w:r>
        <w:rPr>
          <w:outline w:val="0"/>
          <w:color w:val="1c1a16"/>
          <w:u w:color="1c1a16"/>
          <w:rtl w:val="0"/>
          <w:lang w:val="en-US"/>
          <w14:textFill>
            <w14:solidFill>
              <w14:srgbClr w14:val="1C1A16"/>
            </w14:solidFill>
          </w14:textFill>
        </w:rPr>
        <w:t>Before including your address, phone number, email address, or other personal identifying information in your comment, you should be aware that your entire comment</w:t>
      </w:r>
      <w:r>
        <w:rPr>
          <w:outline w:val="0"/>
          <w:color w:val="1c1a16"/>
          <w:u w:color="1c1a16"/>
          <w:rtl w:val="0"/>
          <w:lang w:val="en-US"/>
          <w14:textFill>
            <w14:solidFill>
              <w14:srgbClr w14:val="1C1A16"/>
            </w14:solidFill>
          </w14:textFill>
        </w:rPr>
        <w:t xml:space="preserve">– </w:t>
      </w:r>
      <w:r>
        <w:rPr>
          <w:outline w:val="0"/>
          <w:color w:val="1c1a16"/>
          <w:u w:color="1c1a16"/>
          <w:rtl w:val="0"/>
          <w:lang w:val="en-US"/>
          <w14:textFill>
            <w14:solidFill>
              <w14:srgbClr w14:val="1C1A16"/>
            </w14:solidFill>
          </w14:textFill>
        </w:rPr>
        <w:t xml:space="preserve"> including your personal identifying information</w:t>
      </w:r>
      <w:r>
        <w:rPr>
          <w:outline w:val="0"/>
          <w:color w:val="1c1a16"/>
          <w:u w:color="1c1a16"/>
          <w:rtl w:val="0"/>
          <w:lang w:val="en-US"/>
          <w14:textFill>
            <w14:solidFill>
              <w14:srgbClr w14:val="1C1A16"/>
            </w14:solidFill>
          </w14:textFill>
        </w:rPr>
        <w:t>–</w:t>
      </w:r>
      <w:r>
        <w:rPr>
          <w:outline w:val="0"/>
          <w:color w:val="1c1a16"/>
          <w:u w:color="1c1a16"/>
          <w:rtl w:val="0"/>
          <w:lang w:val="en-US"/>
          <w14:textFill>
            <w14:solidFill>
              <w14:srgbClr w14:val="1C1A16"/>
            </w14:solidFill>
          </w14:textFill>
        </w:rPr>
        <w:t xml:space="preserve"> may be made publicly available at any time. While you can ask the BLM to withhold your personal identifying information from public review, the BLM cannot guarantee that it will be able to do so.</w:t>
      </w: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spacing w:before="80" w:after="80"/>
        <w:rPr>
          <w:outline w:val="0"/>
          <w:color w:val="1c1a16"/>
          <w:u w:color="1c1a16"/>
          <w14:textFill>
            <w14:solidFill>
              <w14:srgbClr w14:val="1C1A16"/>
            </w14:solidFill>
          </w14:textFill>
        </w:rPr>
      </w:pPr>
    </w:p>
    <w:p>
      <w:pPr>
        <w:pStyle w:val="Body"/>
        <w:pBdr>
          <w:top w:val="single" w:color="1a3d2b" w:sz="8" w:space="0" w:shadow="0" w:frame="0"/>
          <w:left w:val="single" w:color="1a3d2b" w:sz="8" w:space="0" w:shadow="0" w:frame="0"/>
          <w:bottom w:val="nil"/>
          <w:right w:val="single" w:color="1a3d2b" w:sz="8" w:space="0" w:shadow="0" w:frame="0"/>
        </w:pBdr>
        <w:shd w:val="clear" w:color="auto" w:fill="1a3d2b"/>
        <w:spacing w:before="200"/>
        <w:ind w:left="180" w:right="180" w:firstLine="0"/>
      </w:pPr>
      <w:r>
        <w:rPr>
          <w:b w:val="1"/>
          <w:bCs w:val="1"/>
          <w:outline w:val="0"/>
          <w:color w:val="ffffff"/>
          <w:u w:color="ffffff"/>
          <w:rtl w:val="0"/>
          <w:lang w:val="de-DE"/>
          <w14:textFill>
            <w14:solidFill>
              <w14:srgbClr w14:val="FFFFFF"/>
            </w14:solidFill>
          </w14:textFill>
        </w:rPr>
        <w:t>ORGANIZER CERTIFICATION</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I, the undersigned organizer, certify that I personally witnessed or received by mail/email each signature on the attached endorsement pages, that each signer is a real individual who reviewed the content of this collective comment, and that I am submitting this document to the BLM scoping record on behalf of all signers by the March 23, 2026 deadline.</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Organizer Name: _____________________________________________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Organization / Affiliation (if any): _____________________________________________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Address: _____________________________________________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Phone: _________________________   Email: 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Date Submitted: _____________________________________________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Signature: _____________________________________________</w:t>
      </w:r>
    </w:p>
    <w:p>
      <w:pPr>
        <w:pStyle w:val="Body"/>
        <w:pBdr>
          <w:top w:val="nil"/>
          <w:left w:val="single" w:color="1a3d2b" w:sz="8" w:space="6" w:shadow="0" w:frame="0"/>
          <w:bottom w:val="nil"/>
          <w:right w:val="single" w:color="1a3d2b" w:sz="8" w:space="6" w:shadow="0" w:frame="0"/>
        </w:pBdr>
        <w:shd w:val="clear" w:color="auto" w:fill="f8fffe"/>
        <w:ind w:left="180" w:right="180" w:firstLine="0"/>
      </w:pPr>
    </w:p>
    <w:p>
      <w:pPr>
        <w:pStyle w:val="Body"/>
        <w:pBdr>
          <w:top w:val="nil"/>
          <w:left w:val="single" w:color="1a3d2b" w:sz="8" w:space="6" w:shadow="0" w:frame="0"/>
          <w:bottom w:val="nil"/>
          <w:right w:val="single" w:color="1a3d2b" w:sz="8" w:space="6" w:shadow="0" w:frame="0"/>
        </w:pBdr>
        <w:shd w:val="clear" w:color="auto" w:fill="f8fffe"/>
        <w:ind w:left="180" w:right="180" w:firstLine="0"/>
      </w:pPr>
      <w:r>
        <w:rPr>
          <w:outline w:val="0"/>
          <w:color w:val="1c1a16"/>
          <w:sz w:val="21"/>
          <w:szCs w:val="21"/>
          <w:u w:color="1c1a16"/>
          <w:rtl w:val="0"/>
          <w:lang w:val="en-US"/>
          <w14:textFill>
            <w14:solidFill>
              <w14:srgbClr w14:val="1C1A16"/>
            </w14:solidFill>
          </w14:textFill>
        </w:rPr>
        <w:t>Total number of endorsement signatures attached: ______________________</w:t>
      </w:r>
    </w:p>
    <w:p>
      <w:pPr>
        <w:pStyle w:val="Body"/>
        <w:pBdr>
          <w:top w:val="nil"/>
          <w:left w:val="single" w:color="1a3d2b" w:sz="8" w:space="0" w:shadow="0" w:frame="0"/>
          <w:bottom w:val="single" w:color="1a3d2b" w:sz="8" w:space="0" w:shadow="0" w:frame="0"/>
          <w:right w:val="single" w:color="1a3d2b" w:sz="8" w:space="0" w:shadow="0" w:frame="0"/>
        </w:pBdr>
        <w:shd w:val="clear" w:color="auto" w:fill="f8fffe"/>
        <w:spacing w:after="200"/>
        <w:ind w:left="180" w:right="180" w:firstLine="0"/>
      </w:pPr>
      <w:r>
        <w:rPr>
          <w:outline w:val="0"/>
          <w:color w:val="1c1a16"/>
          <w:sz w:val="21"/>
          <w:szCs w:val="21"/>
          <w:u w:color="1c1a16"/>
          <w:rtl w:val="0"/>
          <w:lang w:val="en-US"/>
          <w14:textFill>
            <w14:solidFill>
              <w14:srgbClr w14:val="1C1A16"/>
            </w14:solidFill>
          </w14:textFill>
        </w:rPr>
        <w:t xml:space="preserve">Submission method(s): </w:t>
      </w: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outline w:val="0"/>
          <w:color w:val="1c1a16"/>
          <w:sz w:val="21"/>
          <w:szCs w:val="21"/>
          <w:u w:color="1c1a16"/>
          <w:rtl w:val="0"/>
          <w14:textFill>
            <w14:solidFill>
              <w14:srgbClr w14:val="1C1A16"/>
            </w14:solidFill>
          </w14:textFill>
        </w:rPr>
        <w:t xml:space="preserve"> </w:t>
      </w:r>
      <w:r>
        <w:rPr>
          <w:outline w:val="0"/>
          <w:color w:val="1c1a16"/>
          <w:sz w:val="21"/>
          <w:szCs w:val="21"/>
          <w:u w:color="1c1a16"/>
          <w:rtl w:val="0"/>
          <w:lang w:val="en-US"/>
          <w14:textFill>
            <w14:solidFill>
              <w14:srgbClr w14:val="1C1A16"/>
            </w14:solidFill>
          </w14:textFill>
        </w:rPr>
        <w:t xml:space="preserve">Certified Mail    </w:t>
      </w: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outline w:val="0"/>
          <w:color w:val="1c1a16"/>
          <w:sz w:val="21"/>
          <w:szCs w:val="21"/>
          <w:u w:color="1c1a16"/>
          <w:rtl w:val="0"/>
          <w14:textFill>
            <w14:solidFill>
              <w14:srgbClr w14:val="1C1A16"/>
            </w14:solidFill>
          </w14:textFill>
        </w:rPr>
        <w:t xml:space="preserve"> </w:t>
      </w:r>
      <w:r>
        <w:rPr>
          <w:outline w:val="0"/>
          <w:color w:val="1c1a16"/>
          <w:sz w:val="21"/>
          <w:szCs w:val="21"/>
          <w:u w:color="1c1a16"/>
          <w:rtl w:val="0"/>
          <w:lang w:val="de-DE"/>
          <w14:textFill>
            <w14:solidFill>
              <w14:srgbClr w14:val="1C1A16"/>
            </w14:solidFill>
          </w14:textFill>
        </w:rPr>
        <w:t xml:space="preserve">Online (ePlanning portal)    </w:t>
      </w: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outline w:val="0"/>
          <w:color w:val="1c1a16"/>
          <w:sz w:val="21"/>
          <w:szCs w:val="21"/>
          <w:u w:color="1c1a16"/>
          <w:rtl w:val="0"/>
          <w14:textFill>
            <w14:solidFill>
              <w14:srgbClr w14:val="1C1A16"/>
            </w14:solidFill>
          </w14:textFill>
        </w:rPr>
        <w:t xml:space="preserve"> </w:t>
      </w:r>
      <w:r>
        <w:rPr>
          <w:outline w:val="0"/>
          <w:color w:val="1c1a16"/>
          <w:sz w:val="21"/>
          <w:szCs w:val="21"/>
          <w:u w:color="1c1a16"/>
          <w:rtl w:val="0"/>
          <w:lang w:val="en-US"/>
          <w14:textFill>
            <w14:solidFill>
              <w14:srgbClr w14:val="1C1A16"/>
            </w14:solidFill>
          </w14:textFill>
        </w:rPr>
        <w:t>Email</w:t>
      </w:r>
    </w:p>
    <w:p>
      <w:pPr>
        <w:pStyle w:val="Body"/>
        <w:spacing w:before="160"/>
      </w:pPr>
    </w:p>
    <w:p>
      <w:pPr>
        <w:pStyle w:val="Body"/>
      </w:pPr>
      <w:r>
        <w:rPr>
          <w:rFonts w:ascii="Arial Unicode MS" w:cs="Arial Unicode MS" w:hAnsi="Arial Unicode MS" w:eastAsia="Arial Unicode MS"/>
          <w:b w:val="0"/>
          <w:bCs w:val="0"/>
          <w:i w:val="0"/>
          <w:iCs w:val="0"/>
        </w:rPr>
        <w:br w:type="page"/>
      </w:r>
    </w:p>
    <w:p>
      <w:pPr>
        <w:pStyle w:val="Body"/>
        <w:pBdr>
          <w:top w:val="single" w:color="1a3d2b" w:sz="8" w:space="0" w:shadow="0" w:frame="0"/>
          <w:left w:val="single" w:color="1a3d2b" w:sz="8" w:space="0" w:shadow="0" w:frame="0"/>
          <w:bottom w:val="single" w:color="1a3d2b" w:sz="8" w:space="0" w:shadow="0" w:frame="0"/>
          <w:right w:val="single" w:color="1a3d2b" w:sz="8" w:space="0" w:shadow="0" w:frame="0"/>
        </w:pBdr>
        <w:shd w:val="clear" w:color="auto" w:fill="1a3d2b"/>
        <w:spacing w:after="80"/>
        <w:ind w:left="180" w:right="180" w:firstLine="0"/>
        <w:jc w:val="center"/>
      </w:pPr>
      <w:r>
        <w:rPr>
          <w:b w:val="1"/>
          <w:bCs w:val="1"/>
          <w:outline w:val="0"/>
          <w:color w:val="ffffff"/>
          <w:sz w:val="24"/>
          <w:szCs w:val="24"/>
          <w:u w:color="ffffff"/>
          <w:rtl w:val="0"/>
          <w:lang w:val="es-ES_tradnl"/>
          <w14:textFill>
            <w14:solidFill>
              <w14:srgbClr w14:val="FFFFFF"/>
            </w14:solidFill>
          </w14:textFill>
        </w:rPr>
        <w:t xml:space="preserve">COMMUNITY ENDORSEMENT SIGNATURES </w:t>
      </w:r>
      <w:r>
        <w:rPr>
          <w:b w:val="1"/>
          <w:bCs w:val="1"/>
          <w:outline w:val="0"/>
          <w:color w:val="ffffff"/>
          <w:sz w:val="24"/>
          <w:szCs w:val="24"/>
          <w:u w:color="ffffff"/>
          <w:rtl w:val="0"/>
          <w:lang w:val="en-US"/>
          <w14:textFill>
            <w14:solidFill>
              <w14:srgbClr w14:val="FFFFFF"/>
            </w14:solidFill>
          </w14:textFill>
        </w:rPr>
        <w:t xml:space="preserve">— </w:t>
      </w:r>
      <w:r>
        <w:rPr>
          <w:b w:val="1"/>
          <w:bCs w:val="1"/>
          <w:outline w:val="0"/>
          <w:color w:val="ffffff"/>
          <w:sz w:val="24"/>
          <w:szCs w:val="24"/>
          <w:u w:color="ffffff"/>
          <w:rtl w:val="0"/>
          <w:lang w:val="da-DK"/>
          <w14:textFill>
            <w14:solidFill>
              <w14:srgbClr w14:val="FFFFFF"/>
            </w14:solidFill>
          </w14:textFill>
        </w:rPr>
        <w:t>Page 1</w:t>
      </w:r>
    </w:p>
    <w:p>
      <w:pPr>
        <w:pStyle w:val="Body"/>
        <w:spacing w:after="80"/>
        <w:jc w:val="center"/>
      </w:pPr>
      <w:r>
        <w:rPr>
          <w:outline w:val="0"/>
          <w:color w:val="666666"/>
          <w:sz w:val="19"/>
          <w:szCs w:val="19"/>
          <w:u w:color="666666"/>
          <w:rtl w:val="0"/>
          <w:lang w:val="en-US"/>
          <w14:textFill>
            <w14:solidFill>
              <w14:srgbClr w14:val="666666"/>
            </w14:solidFill>
          </w14:textFill>
        </w:rPr>
        <w:t>BLM Project No. DOI-BLM-ORWA-0000-2026-0001-RMP-EIS  |  Deadline: March 23, 2026  |  Submit: BLM_OR_Revision_Scoping@blm.gov</w:t>
      </w:r>
    </w:p>
    <w:p>
      <w:pPr>
        <w:pStyle w:val="Body"/>
        <w:spacing w:after="120"/>
      </w:pPr>
      <w:r>
        <w:rPr>
          <w:i w:val="1"/>
          <w:iCs w:val="1"/>
          <w:outline w:val="0"/>
          <w:color w:val="666666"/>
          <w:sz w:val="20"/>
          <w:szCs w:val="20"/>
          <w:u w:color="666666"/>
          <w:rtl w:val="0"/>
          <w:lang w:val="en-US"/>
          <w14:textFill>
            <w14:solidFill>
              <w14:srgbClr w14:val="666666"/>
            </w14:solidFill>
          </w14:textFill>
        </w:rPr>
        <w:t xml:space="preserve">Each signer below individually adopts and submits these scoping comments as their own formal submission. Print legibly. Each signature constitutes an independent scoping comment under 40 C.F.R. </w:t>
      </w:r>
      <w:r>
        <w:rPr>
          <w:i w:val="1"/>
          <w:iCs w:val="1"/>
          <w:outline w:val="0"/>
          <w:color w:val="666666"/>
          <w:sz w:val="20"/>
          <w:szCs w:val="20"/>
          <w:u w:color="666666"/>
          <w:rtl w:val="0"/>
          <w14:textFill>
            <w14:solidFill>
              <w14:srgbClr w14:val="666666"/>
            </w14:solidFill>
          </w14:textFill>
        </w:rPr>
        <w:t xml:space="preserve">§ </w:t>
      </w:r>
      <w:r>
        <w:rPr>
          <w:i w:val="1"/>
          <w:iCs w:val="1"/>
          <w:outline w:val="0"/>
          <w:color w:val="666666"/>
          <w:sz w:val="20"/>
          <w:szCs w:val="20"/>
          <w:u w:color="666666"/>
          <w:rtl w:val="0"/>
          <w14:textFill>
            <w14:solidFill>
              <w14:srgbClr w14:val="666666"/>
            </w14:solidFill>
          </w14:textFill>
        </w:rPr>
        <w:t>1503.1.</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01"/>
        <w:gridCol w:w="1970"/>
        <w:gridCol w:w="2173"/>
        <w:gridCol w:w="2832"/>
        <w:gridCol w:w="1984"/>
      </w:tblGrid>
      <w:tr>
        <w:tblPrEx>
          <w:shd w:val="clear" w:color="auto" w:fill="156082"/>
        </w:tblPrEx>
        <w:trPr>
          <w:trHeight w:val="663" w:hRule="atLeast"/>
          <w:tblHeader/>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FULL NAME (print legibly)</w:t>
            </w: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ADDRESS / CITY / ZIP</w:t>
            </w: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HOW I USE BLM / USFS LANDS (hike, fish, hunt, business, live nearby, etc.)</w:t>
            </w: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SIGNATURE  +  DATE</w:t>
            </w:r>
          </w:p>
        </w:tc>
      </w:tr>
      <w:tr>
        <w:tblPrEx>
          <w:shd w:val="clear" w:color="auto" w:fill="cad1d7"/>
        </w:tblPrEx>
        <w:trPr>
          <w:trHeight w:val="370"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19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bl>
    <w:p>
      <w:pPr>
        <w:pStyle w:val="Body"/>
        <w:widowControl w:val="0"/>
        <w:spacing w:after="120"/>
      </w:pPr>
    </w:p>
    <w:p>
      <w:pPr>
        <w:pStyle w:val="Body"/>
        <w:spacing w:before="120"/>
      </w:pPr>
    </w:p>
    <w:p>
      <w:pPr>
        <w:pStyle w:val="Body"/>
        <w:spacing w:before="80"/>
      </w:pPr>
      <w:r>
        <w:rPr>
          <w:outline w:val="0"/>
          <w:color w:val="666666"/>
          <w:sz w:val="19"/>
          <w:szCs w:val="19"/>
          <w:u w:color="666666"/>
          <w:rtl w:val="0"/>
          <w:lang w:val="en-US"/>
          <w14:textFill>
            <w14:solidFill>
              <w14:srgbClr w14:val="666666"/>
            </w14:solidFill>
          </w14:textFill>
        </w:rPr>
        <w:t>Organizer initials confirming signatures witnessed: ________   Page total signed: ________ of 20   Page __ of __</w:t>
      </w:r>
    </w:p>
    <w:p>
      <w:pPr>
        <w:pStyle w:val="Body"/>
      </w:pPr>
      <w:r>
        <w:rPr>
          <w:rFonts w:ascii="Arial Unicode MS" w:cs="Arial Unicode MS" w:hAnsi="Arial Unicode MS" w:eastAsia="Arial Unicode MS"/>
          <w:b w:val="0"/>
          <w:bCs w:val="0"/>
          <w:i w:val="0"/>
          <w:iCs w:val="0"/>
        </w:rPr>
        <w:br w:type="page"/>
      </w:r>
    </w:p>
    <w:p>
      <w:pPr>
        <w:pStyle w:val="Body"/>
        <w:pBdr>
          <w:top w:val="single" w:color="1a3d2b" w:sz="8" w:space="0" w:shadow="0" w:frame="0"/>
          <w:left w:val="single" w:color="1a3d2b" w:sz="8" w:space="0" w:shadow="0" w:frame="0"/>
          <w:bottom w:val="single" w:color="1a3d2b" w:sz="8" w:space="0" w:shadow="0" w:frame="0"/>
          <w:right w:val="single" w:color="1a3d2b" w:sz="8" w:space="0" w:shadow="0" w:frame="0"/>
        </w:pBdr>
        <w:shd w:val="clear" w:color="auto" w:fill="1a3d2b"/>
        <w:spacing w:after="80"/>
        <w:ind w:left="180" w:right="180" w:firstLine="0"/>
        <w:jc w:val="center"/>
      </w:pPr>
      <w:r>
        <w:rPr>
          <w:b w:val="1"/>
          <w:bCs w:val="1"/>
          <w:outline w:val="0"/>
          <w:color w:val="ffffff"/>
          <w:sz w:val="24"/>
          <w:szCs w:val="24"/>
          <w:u w:color="ffffff"/>
          <w:rtl w:val="0"/>
          <w:lang w:val="es-ES_tradnl"/>
          <w14:textFill>
            <w14:solidFill>
              <w14:srgbClr w14:val="FFFFFF"/>
            </w14:solidFill>
          </w14:textFill>
        </w:rPr>
        <w:t xml:space="preserve">COMMUNITY ENDORSEMENT SIGNATURES </w:t>
      </w:r>
      <w:r>
        <w:rPr>
          <w:b w:val="1"/>
          <w:bCs w:val="1"/>
          <w:outline w:val="0"/>
          <w:color w:val="ffffff"/>
          <w:sz w:val="24"/>
          <w:szCs w:val="24"/>
          <w:u w:color="ffffff"/>
          <w:rtl w:val="0"/>
          <w:lang w:val="en-US"/>
          <w14:textFill>
            <w14:solidFill>
              <w14:srgbClr w14:val="FFFFFF"/>
            </w14:solidFill>
          </w14:textFill>
        </w:rPr>
        <w:t xml:space="preserve">— </w:t>
      </w:r>
      <w:r>
        <w:rPr>
          <w:b w:val="1"/>
          <w:bCs w:val="1"/>
          <w:outline w:val="0"/>
          <w:color w:val="ffffff"/>
          <w:sz w:val="24"/>
          <w:szCs w:val="24"/>
          <w:u w:color="ffffff"/>
          <w:rtl w:val="0"/>
          <w:lang w:val="da-DK"/>
          <w14:textFill>
            <w14:solidFill>
              <w14:srgbClr w14:val="FFFFFF"/>
            </w14:solidFill>
          </w14:textFill>
        </w:rPr>
        <w:t>Page 2</w:t>
      </w:r>
    </w:p>
    <w:p>
      <w:pPr>
        <w:pStyle w:val="Body"/>
        <w:spacing w:after="80"/>
        <w:jc w:val="center"/>
      </w:pPr>
      <w:r>
        <w:rPr>
          <w:outline w:val="0"/>
          <w:color w:val="666666"/>
          <w:sz w:val="19"/>
          <w:szCs w:val="19"/>
          <w:u w:color="666666"/>
          <w:rtl w:val="0"/>
          <w:lang w:val="en-US"/>
          <w14:textFill>
            <w14:solidFill>
              <w14:srgbClr w14:val="666666"/>
            </w14:solidFill>
          </w14:textFill>
        </w:rPr>
        <w:t>BLM Project No. DOI-BLM-ORWA-0000-2026-0001-RMP-EIS  |  Deadline: March 23, 2026  |  Submit: BLM_OR_Revision_Scoping@blm.gov</w:t>
      </w:r>
    </w:p>
    <w:p>
      <w:pPr>
        <w:pStyle w:val="Body"/>
        <w:spacing w:after="120"/>
      </w:pPr>
      <w:r>
        <w:rPr>
          <w:i w:val="1"/>
          <w:iCs w:val="1"/>
          <w:outline w:val="0"/>
          <w:color w:val="666666"/>
          <w:sz w:val="20"/>
          <w:szCs w:val="20"/>
          <w:u w:color="666666"/>
          <w:rtl w:val="0"/>
          <w:lang w:val="en-US"/>
          <w14:textFill>
            <w14:solidFill>
              <w14:srgbClr w14:val="666666"/>
            </w14:solidFill>
          </w14:textFill>
        </w:rPr>
        <w:t xml:space="preserve">Each signer below individually adopts and submits these scoping comments as their own formal submission. Print legibly. Each signature constitutes an independent scoping comment under 40 C.F.R. </w:t>
      </w:r>
      <w:r>
        <w:rPr>
          <w:i w:val="1"/>
          <w:iCs w:val="1"/>
          <w:outline w:val="0"/>
          <w:color w:val="666666"/>
          <w:sz w:val="20"/>
          <w:szCs w:val="20"/>
          <w:u w:color="666666"/>
          <w:rtl w:val="0"/>
          <w14:textFill>
            <w14:solidFill>
              <w14:srgbClr w14:val="666666"/>
            </w14:solidFill>
          </w14:textFill>
        </w:rPr>
        <w:t xml:space="preserve">§ </w:t>
      </w:r>
      <w:r>
        <w:rPr>
          <w:i w:val="1"/>
          <w:iCs w:val="1"/>
          <w:outline w:val="0"/>
          <w:color w:val="666666"/>
          <w:sz w:val="20"/>
          <w:szCs w:val="20"/>
          <w:u w:color="666666"/>
          <w:rtl w:val="0"/>
          <w14:textFill>
            <w14:solidFill>
              <w14:srgbClr w14:val="666666"/>
            </w14:solidFill>
          </w14:textFill>
        </w:rPr>
        <w:t>1503.1.</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01"/>
        <w:gridCol w:w="1970"/>
        <w:gridCol w:w="2173"/>
        <w:gridCol w:w="2832"/>
        <w:gridCol w:w="1984"/>
      </w:tblGrid>
      <w:tr>
        <w:tblPrEx>
          <w:shd w:val="clear" w:color="auto" w:fill="156082"/>
        </w:tblPrEx>
        <w:trPr>
          <w:trHeight w:val="663" w:hRule="atLeast"/>
          <w:tblHeader/>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FULL NAME (print legibly)</w:t>
            </w: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ADDRESS / CITY / ZIP</w:t>
            </w: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HOW I USE BLM / USFS LANDS (hike, fish, hunt, business, live nearby, etc.)</w:t>
            </w: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SIGNATURE  +  DATE</w:t>
            </w: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29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39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bl>
    <w:p>
      <w:pPr>
        <w:pStyle w:val="Body"/>
        <w:widowControl w:val="0"/>
        <w:spacing w:after="120"/>
      </w:pPr>
    </w:p>
    <w:p>
      <w:pPr>
        <w:pStyle w:val="Body"/>
        <w:spacing w:before="120"/>
      </w:pPr>
    </w:p>
    <w:p>
      <w:pPr>
        <w:pStyle w:val="Body"/>
        <w:spacing w:before="80"/>
      </w:pPr>
      <w:r>
        <w:rPr>
          <w:outline w:val="0"/>
          <w:color w:val="666666"/>
          <w:sz w:val="19"/>
          <w:szCs w:val="19"/>
          <w:u w:color="666666"/>
          <w:rtl w:val="0"/>
          <w:lang w:val="en-US"/>
          <w14:textFill>
            <w14:solidFill>
              <w14:srgbClr w14:val="666666"/>
            </w14:solidFill>
          </w14:textFill>
        </w:rPr>
        <w:t>Organizer initials confirming signatures witnessed: ________   Page total signed: ________ of 20   Page __ of __</w:t>
      </w:r>
    </w:p>
    <w:p>
      <w:pPr>
        <w:pStyle w:val="Body"/>
      </w:pPr>
      <w:r>
        <w:rPr>
          <w:rFonts w:ascii="Arial Unicode MS" w:cs="Arial Unicode MS" w:hAnsi="Arial Unicode MS" w:eastAsia="Arial Unicode MS"/>
          <w:b w:val="0"/>
          <w:bCs w:val="0"/>
          <w:i w:val="0"/>
          <w:iCs w:val="0"/>
        </w:rPr>
        <w:br w:type="page"/>
      </w:r>
    </w:p>
    <w:p>
      <w:pPr>
        <w:pStyle w:val="Body"/>
        <w:pBdr>
          <w:top w:val="single" w:color="1a3d2b" w:sz="8" w:space="0" w:shadow="0" w:frame="0"/>
          <w:left w:val="single" w:color="1a3d2b" w:sz="8" w:space="0" w:shadow="0" w:frame="0"/>
          <w:bottom w:val="single" w:color="1a3d2b" w:sz="8" w:space="0" w:shadow="0" w:frame="0"/>
          <w:right w:val="single" w:color="1a3d2b" w:sz="8" w:space="0" w:shadow="0" w:frame="0"/>
        </w:pBdr>
        <w:shd w:val="clear" w:color="auto" w:fill="1a3d2b"/>
        <w:spacing w:after="80"/>
        <w:ind w:left="180" w:right="180" w:firstLine="0"/>
        <w:jc w:val="center"/>
      </w:pPr>
      <w:r>
        <w:rPr>
          <w:b w:val="1"/>
          <w:bCs w:val="1"/>
          <w:outline w:val="0"/>
          <w:color w:val="ffffff"/>
          <w:sz w:val="24"/>
          <w:szCs w:val="24"/>
          <w:u w:color="ffffff"/>
          <w:rtl w:val="0"/>
          <w:lang w:val="es-ES_tradnl"/>
          <w14:textFill>
            <w14:solidFill>
              <w14:srgbClr w14:val="FFFFFF"/>
            </w14:solidFill>
          </w14:textFill>
        </w:rPr>
        <w:t xml:space="preserve">COMMUNITY ENDORSEMENT SIGNATURES </w:t>
      </w:r>
      <w:r>
        <w:rPr>
          <w:b w:val="1"/>
          <w:bCs w:val="1"/>
          <w:outline w:val="0"/>
          <w:color w:val="ffffff"/>
          <w:sz w:val="24"/>
          <w:szCs w:val="24"/>
          <w:u w:color="ffffff"/>
          <w:rtl w:val="0"/>
          <w:lang w:val="en-US"/>
          <w14:textFill>
            <w14:solidFill>
              <w14:srgbClr w14:val="FFFFFF"/>
            </w14:solidFill>
          </w14:textFill>
        </w:rPr>
        <w:t xml:space="preserve">— </w:t>
      </w:r>
      <w:r>
        <w:rPr>
          <w:b w:val="1"/>
          <w:bCs w:val="1"/>
          <w:outline w:val="0"/>
          <w:color w:val="ffffff"/>
          <w:sz w:val="24"/>
          <w:szCs w:val="24"/>
          <w:u w:color="ffffff"/>
          <w:rtl w:val="0"/>
          <w:lang w:val="da-DK"/>
          <w14:textFill>
            <w14:solidFill>
              <w14:srgbClr w14:val="FFFFFF"/>
            </w14:solidFill>
          </w14:textFill>
        </w:rPr>
        <w:t>Page 3</w:t>
      </w:r>
    </w:p>
    <w:p>
      <w:pPr>
        <w:pStyle w:val="Body"/>
        <w:spacing w:after="80"/>
        <w:jc w:val="center"/>
      </w:pPr>
      <w:r>
        <w:rPr>
          <w:outline w:val="0"/>
          <w:color w:val="666666"/>
          <w:sz w:val="19"/>
          <w:szCs w:val="19"/>
          <w:u w:color="666666"/>
          <w:rtl w:val="0"/>
          <w:lang w:val="en-US"/>
          <w14:textFill>
            <w14:solidFill>
              <w14:srgbClr w14:val="666666"/>
            </w14:solidFill>
          </w14:textFill>
        </w:rPr>
        <w:t>BLM Project No. DOI-BLM-ORWA-0000-2026-0001-RMP-EIS  |  Deadline: March 23, 2026  |  Submit: BLM_OR_Revision_Scoping@blm.gov</w:t>
      </w:r>
    </w:p>
    <w:p>
      <w:pPr>
        <w:pStyle w:val="Body"/>
        <w:spacing w:after="120"/>
      </w:pPr>
      <w:r>
        <w:rPr>
          <w:i w:val="1"/>
          <w:iCs w:val="1"/>
          <w:outline w:val="0"/>
          <w:color w:val="666666"/>
          <w:sz w:val="20"/>
          <w:szCs w:val="20"/>
          <w:u w:color="666666"/>
          <w:rtl w:val="0"/>
          <w:lang w:val="en-US"/>
          <w14:textFill>
            <w14:solidFill>
              <w14:srgbClr w14:val="666666"/>
            </w14:solidFill>
          </w14:textFill>
        </w:rPr>
        <w:t xml:space="preserve">Each signer below individually adopts and submits these scoping comments as their own formal submission. Print legibly. Each signature constitutes an independent scoping comment under 40 C.F.R. </w:t>
      </w:r>
      <w:r>
        <w:rPr>
          <w:i w:val="1"/>
          <w:iCs w:val="1"/>
          <w:outline w:val="0"/>
          <w:color w:val="666666"/>
          <w:sz w:val="20"/>
          <w:szCs w:val="20"/>
          <w:u w:color="666666"/>
          <w:rtl w:val="0"/>
          <w14:textFill>
            <w14:solidFill>
              <w14:srgbClr w14:val="666666"/>
            </w14:solidFill>
          </w14:textFill>
        </w:rPr>
        <w:t xml:space="preserve">§ </w:t>
      </w:r>
      <w:r>
        <w:rPr>
          <w:i w:val="1"/>
          <w:iCs w:val="1"/>
          <w:outline w:val="0"/>
          <w:color w:val="666666"/>
          <w:sz w:val="20"/>
          <w:szCs w:val="20"/>
          <w:u w:color="666666"/>
          <w:rtl w:val="0"/>
          <w14:textFill>
            <w14:solidFill>
              <w14:srgbClr w14:val="666666"/>
            </w14:solidFill>
          </w14:textFill>
        </w:rPr>
        <w:t>1503.1.</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01"/>
        <w:gridCol w:w="1970"/>
        <w:gridCol w:w="2173"/>
        <w:gridCol w:w="2832"/>
        <w:gridCol w:w="1984"/>
      </w:tblGrid>
      <w:tr>
        <w:tblPrEx>
          <w:shd w:val="clear" w:color="auto" w:fill="156082"/>
        </w:tblPrEx>
        <w:trPr>
          <w:trHeight w:val="663" w:hRule="atLeast"/>
          <w:tblHeader/>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FULL NAME (print legibly)</w:t>
            </w: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ADDRESS / CITY / ZIP</w:t>
            </w: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HOW I USE BLM / USFS LANDS (hike, fish, hunt, business, live nearby, etc.)</w:t>
            </w: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SIGNATURE  +  DATE</w:t>
            </w: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49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59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bl>
    <w:p>
      <w:pPr>
        <w:pStyle w:val="Body"/>
        <w:widowControl w:val="0"/>
        <w:spacing w:after="120"/>
      </w:pPr>
    </w:p>
    <w:p>
      <w:pPr>
        <w:pStyle w:val="Body"/>
        <w:spacing w:before="120"/>
      </w:pPr>
    </w:p>
    <w:p>
      <w:pPr>
        <w:pStyle w:val="Body"/>
        <w:spacing w:before="80"/>
      </w:pPr>
      <w:r>
        <w:rPr>
          <w:outline w:val="0"/>
          <w:color w:val="666666"/>
          <w:sz w:val="19"/>
          <w:szCs w:val="19"/>
          <w:u w:color="666666"/>
          <w:rtl w:val="0"/>
          <w:lang w:val="en-US"/>
          <w14:textFill>
            <w14:solidFill>
              <w14:srgbClr w14:val="666666"/>
            </w14:solidFill>
          </w14:textFill>
        </w:rPr>
        <w:t>Organizer initials confirming signatures witnessed: ________   Page total signed: ________ of 20   Page __ of __</w:t>
      </w:r>
    </w:p>
    <w:p>
      <w:pPr>
        <w:pStyle w:val="Body"/>
      </w:pPr>
      <w:r>
        <w:rPr>
          <w:rFonts w:ascii="Arial Unicode MS" w:cs="Arial Unicode MS" w:hAnsi="Arial Unicode MS" w:eastAsia="Arial Unicode MS"/>
          <w:b w:val="0"/>
          <w:bCs w:val="0"/>
          <w:i w:val="0"/>
          <w:iCs w:val="0"/>
        </w:rPr>
        <w:br w:type="page"/>
      </w:r>
    </w:p>
    <w:p>
      <w:pPr>
        <w:pStyle w:val="Body"/>
        <w:pBdr>
          <w:top w:val="single" w:color="1a3d2b" w:sz="8" w:space="0" w:shadow="0" w:frame="0"/>
          <w:left w:val="single" w:color="1a3d2b" w:sz="8" w:space="0" w:shadow="0" w:frame="0"/>
          <w:bottom w:val="single" w:color="1a3d2b" w:sz="8" w:space="0" w:shadow="0" w:frame="0"/>
          <w:right w:val="single" w:color="1a3d2b" w:sz="8" w:space="0" w:shadow="0" w:frame="0"/>
        </w:pBdr>
        <w:shd w:val="clear" w:color="auto" w:fill="1a3d2b"/>
        <w:spacing w:after="80"/>
        <w:ind w:left="180" w:right="180" w:firstLine="0"/>
        <w:jc w:val="center"/>
      </w:pPr>
      <w:r>
        <w:rPr>
          <w:b w:val="1"/>
          <w:bCs w:val="1"/>
          <w:outline w:val="0"/>
          <w:color w:val="ffffff"/>
          <w:sz w:val="24"/>
          <w:szCs w:val="24"/>
          <w:u w:color="ffffff"/>
          <w:rtl w:val="0"/>
          <w:lang w:val="es-ES_tradnl"/>
          <w14:textFill>
            <w14:solidFill>
              <w14:srgbClr w14:val="FFFFFF"/>
            </w14:solidFill>
          </w14:textFill>
        </w:rPr>
        <w:t xml:space="preserve">COMMUNITY ENDORSEMENT SIGNATURES </w:t>
      </w:r>
      <w:r>
        <w:rPr>
          <w:b w:val="1"/>
          <w:bCs w:val="1"/>
          <w:outline w:val="0"/>
          <w:color w:val="ffffff"/>
          <w:sz w:val="24"/>
          <w:szCs w:val="24"/>
          <w:u w:color="ffffff"/>
          <w:rtl w:val="0"/>
          <w:lang w:val="en-US"/>
          <w14:textFill>
            <w14:solidFill>
              <w14:srgbClr w14:val="FFFFFF"/>
            </w14:solidFill>
          </w14:textFill>
        </w:rPr>
        <w:t xml:space="preserve">— </w:t>
      </w:r>
      <w:r>
        <w:rPr>
          <w:b w:val="1"/>
          <w:bCs w:val="1"/>
          <w:outline w:val="0"/>
          <w:color w:val="ffffff"/>
          <w:sz w:val="24"/>
          <w:szCs w:val="24"/>
          <w:u w:color="ffffff"/>
          <w:rtl w:val="0"/>
          <w:lang w:val="da-DK"/>
          <w14:textFill>
            <w14:solidFill>
              <w14:srgbClr w14:val="FFFFFF"/>
            </w14:solidFill>
          </w14:textFill>
        </w:rPr>
        <w:t>Page 4</w:t>
      </w:r>
    </w:p>
    <w:p>
      <w:pPr>
        <w:pStyle w:val="Body"/>
        <w:spacing w:after="80"/>
        <w:jc w:val="center"/>
      </w:pPr>
      <w:r>
        <w:rPr>
          <w:outline w:val="0"/>
          <w:color w:val="666666"/>
          <w:sz w:val="19"/>
          <w:szCs w:val="19"/>
          <w:u w:color="666666"/>
          <w:rtl w:val="0"/>
          <w:lang w:val="en-US"/>
          <w14:textFill>
            <w14:solidFill>
              <w14:srgbClr w14:val="666666"/>
            </w14:solidFill>
          </w14:textFill>
        </w:rPr>
        <w:t>BLM Project No. DOI-BLM-ORWA-0000-2026-0001-RMP-EIS  |  Deadline: March 23, 2026  |  Submit: BLM_OR_Revision_Scoping@blm.gov</w:t>
      </w:r>
    </w:p>
    <w:p>
      <w:pPr>
        <w:pStyle w:val="Body"/>
        <w:spacing w:after="120"/>
      </w:pPr>
      <w:r>
        <w:rPr>
          <w:i w:val="1"/>
          <w:iCs w:val="1"/>
          <w:outline w:val="0"/>
          <w:color w:val="666666"/>
          <w:sz w:val="20"/>
          <w:szCs w:val="20"/>
          <w:u w:color="666666"/>
          <w:rtl w:val="0"/>
          <w:lang w:val="en-US"/>
          <w14:textFill>
            <w14:solidFill>
              <w14:srgbClr w14:val="666666"/>
            </w14:solidFill>
          </w14:textFill>
        </w:rPr>
        <w:t xml:space="preserve">Each signer below individually adopts and submits these scoping comments as their own formal submission. Print legibly. Each signature constitutes an independent scoping comment under 40 C.F.R. </w:t>
      </w:r>
      <w:r>
        <w:rPr>
          <w:i w:val="1"/>
          <w:iCs w:val="1"/>
          <w:outline w:val="0"/>
          <w:color w:val="666666"/>
          <w:sz w:val="20"/>
          <w:szCs w:val="20"/>
          <w:u w:color="666666"/>
          <w:rtl w:val="0"/>
          <w14:textFill>
            <w14:solidFill>
              <w14:srgbClr w14:val="666666"/>
            </w14:solidFill>
          </w14:textFill>
        </w:rPr>
        <w:t xml:space="preserve">§ </w:t>
      </w:r>
      <w:r>
        <w:rPr>
          <w:i w:val="1"/>
          <w:iCs w:val="1"/>
          <w:outline w:val="0"/>
          <w:color w:val="666666"/>
          <w:sz w:val="20"/>
          <w:szCs w:val="20"/>
          <w:u w:color="666666"/>
          <w:rtl w:val="0"/>
          <w14:textFill>
            <w14:solidFill>
              <w14:srgbClr w14:val="666666"/>
            </w14:solidFill>
          </w14:textFill>
        </w:rPr>
        <w:t>1503.1.</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01"/>
        <w:gridCol w:w="1970"/>
        <w:gridCol w:w="2173"/>
        <w:gridCol w:w="2832"/>
        <w:gridCol w:w="1984"/>
      </w:tblGrid>
      <w:tr>
        <w:tblPrEx>
          <w:shd w:val="clear" w:color="auto" w:fill="156082"/>
        </w:tblPrEx>
        <w:trPr>
          <w:trHeight w:val="663" w:hRule="atLeast"/>
          <w:tblHeader/>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FULL NAME (print legibly)</w:t>
            </w: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ADDRESS / CITY / ZIP</w:t>
            </w: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HOW I USE BLM / USFS LANDS (hike, fish, hunt, business, live nearby, etc.)</w:t>
            </w: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1a3d2b"/>
            <w:tcMar>
              <w:top w:type="dxa" w:w="80"/>
              <w:left w:type="dxa" w:w="80"/>
              <w:bottom w:type="dxa" w:w="80"/>
              <w:right w:type="dxa" w:w="80"/>
            </w:tcMar>
            <w:vAlign w:val="center"/>
          </w:tcPr>
          <w:p>
            <w:pPr>
              <w:pStyle w:val="Body"/>
              <w:spacing w:before="40" w:after="40"/>
            </w:pPr>
            <w:r>
              <w:rPr>
                <w:b w:val="1"/>
                <w:bCs w:val="1"/>
                <w:outline w:val="0"/>
                <w:color w:val="ffffff"/>
                <w:sz w:val="20"/>
                <w:szCs w:val="20"/>
                <w:u w:color="ffffff"/>
                <w:shd w:val="nil" w:color="auto" w:fill="auto"/>
                <w:rtl w:val="0"/>
                <w:lang w:val="en-US"/>
                <w14:textFill>
                  <w14:solidFill>
                    <w14:srgbClr w14:val="FFFFFF"/>
                  </w14:solidFill>
                </w14:textFill>
              </w:rPr>
              <w:t>SIGNATURE  +  DATE</w:t>
            </w: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69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71</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72</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73</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74</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75</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76</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77</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78</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79</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0f7f3"/>
            <w:tcMar>
              <w:top w:type="dxa" w:w="80"/>
              <w:left w:type="dxa" w:w="80"/>
              <w:bottom w:type="dxa" w:w="80"/>
              <w:right w:type="dxa" w:w="80"/>
            </w:tcMar>
            <w:vAlign w:val="center"/>
          </w:tcPr>
          <w:p/>
        </w:tc>
      </w:tr>
      <w:tr>
        <w:tblPrEx>
          <w:shd w:val="clear" w:color="auto" w:fill="cad1d7"/>
        </w:tblPrEx>
        <w:trPr>
          <w:trHeight w:val="243" w:hRule="atLeast"/>
        </w:trPr>
        <w:tc>
          <w:tcPr>
            <w:tcW w:type="dxa" w:w="401"/>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pPr>
              <w:pStyle w:val="Body"/>
            </w:pPr>
            <w:r>
              <w:rPr>
                <w:outline w:val="0"/>
                <w:color w:val="666666"/>
                <w:sz w:val="18"/>
                <w:szCs w:val="18"/>
                <w:u w:color="666666"/>
                <w:shd w:val="nil" w:color="auto" w:fill="auto"/>
                <w:rtl w:val="0"/>
                <w:lang w:val="en-US"/>
                <w14:textFill>
                  <w14:solidFill>
                    <w14:srgbClr w14:val="666666"/>
                  </w14:solidFill>
                </w14:textFill>
              </w:rPr>
              <w:t>80</w:t>
            </w:r>
          </w:p>
        </w:tc>
        <w:tc>
          <w:tcPr>
            <w:tcW w:type="dxa" w:w="1970"/>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17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2832"/>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c>
          <w:tcPr>
            <w:tcW w:type="dxa" w:w="1983"/>
            <w:tcBorders>
              <w:top w:val="single" w:color="cccccc" w:sz="4" w:space="0" w:shadow="0" w:frame="0"/>
              <w:left w:val="single" w:color="cccccc" w:sz="4" w:space="0" w:shadow="0" w:frame="0"/>
              <w:bottom w:val="single" w:color="cccccc" w:sz="4" w:space="0" w:shadow="0" w:frame="0"/>
              <w:right w:val="single" w:color="cccccc" w:sz="4" w:space="0" w:shadow="0" w:frame="0"/>
            </w:tcBorders>
            <w:shd w:val="clear" w:color="auto" w:fill="ffffff"/>
            <w:tcMar>
              <w:top w:type="dxa" w:w="80"/>
              <w:left w:type="dxa" w:w="80"/>
              <w:bottom w:type="dxa" w:w="80"/>
              <w:right w:type="dxa" w:w="80"/>
            </w:tcMar>
            <w:vAlign w:val="center"/>
          </w:tcPr>
          <w:p/>
        </w:tc>
      </w:tr>
    </w:tbl>
    <w:p>
      <w:pPr>
        <w:pStyle w:val="Body"/>
        <w:widowControl w:val="0"/>
        <w:spacing w:after="120"/>
      </w:pPr>
    </w:p>
    <w:p>
      <w:pPr>
        <w:pStyle w:val="Body"/>
        <w:spacing w:before="120"/>
      </w:pPr>
    </w:p>
    <w:p>
      <w:pPr>
        <w:pStyle w:val="Body"/>
        <w:spacing w:before="80"/>
      </w:pPr>
      <w:r>
        <w:rPr>
          <w:outline w:val="0"/>
          <w:color w:val="666666"/>
          <w:sz w:val="19"/>
          <w:szCs w:val="19"/>
          <w:u w:color="666666"/>
          <w:rtl w:val="0"/>
          <w:lang w:val="en-US"/>
          <w14:textFill>
            <w14:solidFill>
              <w14:srgbClr w14:val="666666"/>
            </w14:solidFill>
          </w14:textFill>
        </w:rPr>
        <w:t>Organizer initials confirming signatures witnessed: ________   Page total signed: ________ of 20   Page __ of __</w:t>
      </w:r>
    </w:p>
    <w:p>
      <w:pPr>
        <w:pStyle w:val="Body"/>
      </w:pPr>
      <w:r>
        <w:rPr>
          <w:rFonts w:ascii="Arial Unicode MS" w:cs="Arial Unicode MS" w:hAnsi="Arial Unicode MS" w:eastAsia="Arial Unicode MS"/>
          <w:b w:val="0"/>
          <w:bCs w:val="0"/>
          <w:i w:val="0"/>
          <w:iCs w:val="0"/>
        </w:rPr>
        <w:br w:type="page"/>
      </w:r>
    </w:p>
    <w:p>
      <w:pPr>
        <w:pStyle w:val="Body"/>
        <w:pBdr>
          <w:top w:val="nil"/>
          <w:left w:val="nil"/>
          <w:bottom w:val="single" w:color="40916c" w:sz="6" w:space="0" w:shadow="0" w:frame="0"/>
          <w:right w:val="nil"/>
        </w:pBdr>
        <w:spacing w:after="120"/>
      </w:pPr>
      <w:r>
        <w:rPr>
          <w:b w:val="1"/>
          <w:bCs w:val="1"/>
          <w:outline w:val="0"/>
          <w:color w:val="1a3d2b"/>
          <w:sz w:val="24"/>
          <w:szCs w:val="24"/>
          <w:u w:color="1a3d2b"/>
          <w:rtl w:val="0"/>
          <w:lang w:val="en-US"/>
          <w14:textFill>
            <w14:solidFill>
              <w14:srgbClr w14:val="1A3D2B"/>
            </w14:solidFill>
          </w14:textFill>
        </w:rPr>
        <w:t>ADDITIONAL SIGNATURE PAGES</w:t>
      </w:r>
    </w:p>
    <w:p>
      <w:pPr>
        <w:pStyle w:val="Body"/>
        <w:spacing w:before="80" w:after="80"/>
      </w:pPr>
      <w:r>
        <w:rPr>
          <w:outline w:val="0"/>
          <w:color w:val="1c1a16"/>
          <w:u w:color="1c1a16"/>
          <w:rtl w:val="0"/>
          <w:lang w:val="en-US"/>
          <w14:textFill>
            <w14:solidFill>
              <w14:srgbClr w14:val="1C1A16"/>
            </w14:solidFill>
          </w14:textFill>
        </w:rPr>
        <w:t>If your community collects more than 80 endorsements, print and attach additional copies of any signature page above. Number continuation pages sequentially. The organizer should maintain a master log of all signers and page numbers.</w:t>
      </w:r>
    </w:p>
    <w:p>
      <w:pPr>
        <w:pStyle w:val="Body"/>
        <w:spacing w:before="80"/>
      </w:pPr>
    </w:p>
    <w:p>
      <w:pPr>
        <w:pStyle w:val="Body"/>
        <w:pBdr>
          <w:top w:val="single" w:color="40916c" w:sz="8" w:space="0" w:shadow="0" w:frame="0"/>
          <w:left w:val="single" w:color="40916c" w:sz="8" w:space="0" w:shadow="0" w:frame="0"/>
          <w:bottom w:val="nil"/>
          <w:right w:val="single" w:color="40916c" w:sz="8" w:space="0" w:shadow="0" w:frame="0"/>
        </w:pBdr>
        <w:shd w:val="clear" w:color="auto" w:fill="eef7f3"/>
        <w:spacing w:before="200"/>
        <w:ind w:left="180" w:right="180" w:firstLine="0"/>
      </w:pPr>
      <w:r>
        <w:rPr>
          <w:b w:val="1"/>
          <w:bCs w:val="1"/>
          <w:outline w:val="0"/>
          <w:color w:val="1a3d2b"/>
          <w:sz w:val="23"/>
          <w:szCs w:val="23"/>
          <w:u w:color="1a3d2b"/>
          <w:rtl w:val="0"/>
          <w:lang w:val="en-US"/>
          <w14:textFill>
            <w14:solidFill>
              <w14:srgbClr w14:val="1A3D2B"/>
            </w14:solidFill>
          </w14:textFill>
        </w:rPr>
        <w:t>Submission Checklist for Organizers</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Cover page and all comment sections (Sections I</w:t>
      </w:r>
      <w:r>
        <w:rPr>
          <w:i w:val="1"/>
          <w:iCs w:val="1"/>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lang w:val="en-US"/>
          <w14:textFill>
            <w14:solidFill>
              <w14:srgbClr w14:val="1C1A16"/>
            </w14:solidFill>
          </w14:textFill>
        </w:rPr>
        <w:t>XVI) printed or saved as PDF</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All completed signature pages scanned or photographed clearly</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Organizer certification block completed and signed</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Certified mail package prepared to: BLM OR930, 1220 SW 3rd Ave, Portland OR 97204</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 xml:space="preserve">Online upload completed at https://eplanning.blm.gov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Project No. DOI-BLM-ORWA-0000-2026-0001-RMP-EIS</w:t>
      </w:r>
    </w:p>
    <w:p>
      <w:pPr>
        <w:pStyle w:val="Body"/>
        <w:pBdr>
          <w:top w:val="nil"/>
          <w:left w:val="single" w:color="40916c" w:sz="18" w:space="6" w:shadow="0" w:frame="0"/>
          <w:bottom w:val="nil"/>
          <w:right w:val="single" w:color="40916c" w:sz="18" w:space="6" w:shadow="0" w:frame="0"/>
        </w:pBdr>
        <w:shd w:val="clear" w:color="auto" w:fill="eef7f3"/>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 xml:space="preserve">Email copy sent to BLM_OR_Revision_Scoping@blm.gov with subject: 'Scoping Comment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Coastal Oregon Community'</w:t>
      </w:r>
    </w:p>
    <w:p>
      <w:pPr>
        <w:pStyle w:val="Body"/>
        <w:pBdr>
          <w:top w:val="nil"/>
          <w:left w:val="single" w:color="40916c" w:sz="8" w:space="0" w:shadow="0" w:frame="0"/>
          <w:bottom w:val="single" w:color="40916c" w:sz="8" w:space="0" w:shadow="0" w:frame="0"/>
          <w:right w:val="single" w:color="40916c" w:sz="8" w:space="0" w:shadow="0" w:frame="0"/>
        </w:pBdr>
        <w:shd w:val="clear" w:color="auto" w:fill="eef7f3"/>
        <w:spacing w:after="200"/>
        <w:ind w:left="180" w:right="180" w:firstLine="0"/>
      </w:pPr>
      <w:r>
        <w:rPr>
          <w:rFonts w:ascii="Arial Unicode MS" w:cs="Arial Unicode MS" w:hAnsi="Arial Unicode MS" w:eastAsia="Arial Unicode MS" w:hint="default"/>
          <w:b w:val="0"/>
          <w:bCs w:val="0"/>
          <w:i w:val="0"/>
          <w:iCs w:val="0"/>
          <w:outline w:val="0"/>
          <w:color w:val="1c1a16"/>
          <w:sz w:val="21"/>
          <w:szCs w:val="21"/>
          <w:u w:color="1c1a16"/>
          <w:rtl w:val="0"/>
          <w14:textFill>
            <w14:solidFill>
              <w14:srgbClr w14:val="1C1A16"/>
            </w14:solidFill>
          </w14:textFill>
        </w:rPr>
        <w:t>☐</w:t>
      </w:r>
      <w:r>
        <w:rPr>
          <w:i w:val="1"/>
          <w:iCs w:val="1"/>
          <w:outline w:val="0"/>
          <w:color w:val="1c1a16"/>
          <w:sz w:val="21"/>
          <w:szCs w:val="21"/>
          <w:u w:color="1c1a16"/>
          <w:rtl w:val="0"/>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 xml:space="preserve">All submissions completed BEFORE March 23, 2026 </w:t>
      </w:r>
      <w:r>
        <w:rPr>
          <w:i w:val="1"/>
          <w:iCs w:val="1"/>
          <w:outline w:val="0"/>
          <w:color w:val="1c1a16"/>
          <w:sz w:val="21"/>
          <w:szCs w:val="21"/>
          <w:u w:color="1c1a16"/>
          <w:rtl w:val="0"/>
          <w:lang w:val="en-US"/>
          <w14:textFill>
            <w14:solidFill>
              <w14:srgbClr w14:val="1C1A16"/>
            </w14:solidFill>
          </w14:textFill>
        </w:rPr>
        <w:t xml:space="preserve">— </w:t>
      </w:r>
      <w:r>
        <w:rPr>
          <w:i w:val="1"/>
          <w:iCs w:val="1"/>
          <w:outline w:val="0"/>
          <w:color w:val="1c1a16"/>
          <w:sz w:val="21"/>
          <w:szCs w:val="21"/>
          <w:u w:color="1c1a16"/>
          <w:rtl w:val="0"/>
          <w:lang w:val="en-US"/>
          <w14:textFill>
            <w14:solidFill>
              <w14:srgbClr w14:val="1C1A16"/>
            </w14:solidFill>
          </w14:textFill>
        </w:rPr>
        <w:t>late comments cannot be accepted into the record</w:t>
      </w:r>
    </w:p>
    <w:sectPr>
      <w:headerReference w:type="default" r:id="rId4"/>
      <w:footerReference w:type="default" r:id="rId5"/>
      <w:pgSz w:w="12240" w:h="15840" w:orient="portrait"/>
      <w:pgMar w:top="1260" w:right="1260" w:bottom="126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pBdr>
        <w:top w:val="nil"/>
        <w:left w:val="nil"/>
        <w:bottom w:val="single" w:color="cccccc" w:sz="4" w:space="0" w:shadow="0" w:frame="0"/>
        <w:right w:val="nil"/>
      </w:pBdr>
      <w:spacing w:after="100"/>
    </w:pPr>
    <w:r>
      <w:rPr>
        <w:outline w:val="0"/>
        <w:color w:val="888888"/>
        <w:sz w:val="17"/>
        <w:szCs w:val="17"/>
        <w:u w:color="888888"/>
        <w:rtl w:val="0"/>
        <w:lang w:val="de-DE"/>
        <w14:textFill>
          <w14:solidFill>
            <w14:srgbClr w14:val="888888"/>
          </w14:solidFill>
        </w14:textFill>
      </w:rPr>
      <w:t>FORMAL SCOPING COMMENT  |  BLM Northwestern &amp; Coastal Oregon / Southwestern Oregon RMP Revision  |  Project DOI-BLM-ORWA-0000-2026-0001-RMP-EIS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Roman"/>
      <w:suff w:val="tab"/>
      <w:lvlText w:val="%1."/>
      <w:lvlJc w:val="left"/>
      <w:pPr>
        <w:ind w:left="64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64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64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364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464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564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664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764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864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4"/>
  </w:abstractNum>
  <w:abstractNum w:abstractNumId="9">
    <w:multiLevelType w:val="hybridMultilevel"/>
    <w:styleLink w:val="Imported Style 4"/>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1"/>
  </w:abstractNum>
  <w:abstractNum w:abstractNumId="23">
    <w:multiLevelType w:val="hybridMultilevel"/>
    <w:styleLink w:val="Imported Style 11"/>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2"/>
  </w:abstractNum>
  <w:abstractNum w:abstractNumId="25">
    <w:multiLevelType w:val="hybridMultilevel"/>
    <w:styleLink w:val="Imported Style 12"/>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3"/>
  </w:abstractNum>
  <w:abstractNum w:abstractNumId="27">
    <w:multiLevelType w:val="hybridMultilevel"/>
    <w:styleLink w:val="Imported Style 13"/>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4"/>
  </w:abstractNum>
  <w:abstractNum w:abstractNumId="29">
    <w:multiLevelType w:val="hybridMultilevel"/>
    <w:styleLink w:val="Imported Style 14"/>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5"/>
  </w:abstractNum>
  <w:abstractNum w:abstractNumId="31">
    <w:multiLevelType w:val="hybridMultilevel"/>
    <w:styleLink w:val="Imported Style 15"/>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6"/>
  </w:abstractNum>
  <w:abstractNum w:abstractNumId="33">
    <w:multiLevelType w:val="hybridMultilevel"/>
    <w:styleLink w:val="Imported Style 16"/>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7"/>
  </w:abstractNum>
  <w:abstractNum w:abstractNumId="35">
    <w:multiLevelType w:val="hybridMultilevel"/>
    <w:styleLink w:val="Imported Style 17"/>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8"/>
  </w:abstractNum>
  <w:abstractNum w:abstractNumId="37">
    <w:multiLevelType w:val="hybridMultilevel"/>
    <w:styleLink w:val="Imported Style 18"/>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19"/>
  </w:abstractNum>
  <w:abstractNum w:abstractNumId="39">
    <w:multiLevelType w:val="hybridMultilevel"/>
    <w:styleLink w:val="Imported Style 19"/>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0"/>
  </w:abstractNum>
  <w:abstractNum w:abstractNumId="41">
    <w:multiLevelType w:val="hybridMultilevel"/>
    <w:styleLink w:val="Imported Style 20"/>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1"/>
  </w:abstractNum>
  <w:abstractNum w:abstractNumId="43">
    <w:multiLevelType w:val="hybridMultilevel"/>
    <w:styleLink w:val="Imported Style 21"/>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2"/>
  </w:abstractNum>
  <w:abstractNum w:abstractNumId="45">
    <w:multiLevelType w:val="hybridMultilevel"/>
    <w:styleLink w:val="Imported Style 22"/>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3"/>
  </w:abstractNum>
  <w:abstractNum w:abstractNumId="47">
    <w:multiLevelType w:val="hybridMultilevel"/>
    <w:styleLink w:val="Imported Style 23"/>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4"/>
  </w:abstractNum>
  <w:abstractNum w:abstractNumId="49">
    <w:multiLevelType w:val="hybridMultilevel"/>
    <w:styleLink w:val="Imported Style 24"/>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5"/>
  </w:abstractNum>
  <w:abstractNum w:abstractNumId="51">
    <w:multiLevelType w:val="hybridMultilevel"/>
    <w:styleLink w:val="Imported Style 25"/>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6"/>
  </w:abstractNum>
  <w:abstractNum w:abstractNumId="53">
    <w:multiLevelType w:val="hybridMultilevel"/>
    <w:styleLink w:val="Imported Style 26"/>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27"/>
  </w:abstractNum>
  <w:abstractNum w:abstractNumId="55">
    <w:multiLevelType w:val="hybridMultilevel"/>
    <w:styleLink w:val="Imported Style 27"/>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28"/>
  </w:abstractNum>
  <w:abstractNum w:abstractNumId="57">
    <w:multiLevelType w:val="hybridMultilevel"/>
    <w:styleLink w:val="Imported Style 28"/>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29"/>
  </w:abstractNum>
  <w:abstractNum w:abstractNumId="59">
    <w:multiLevelType w:val="hybridMultilevel"/>
    <w:styleLink w:val="Imported Style 29"/>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Imported Style 30"/>
  </w:abstractNum>
  <w:abstractNum w:abstractNumId="61">
    <w:multiLevelType w:val="hybridMultilevel"/>
    <w:styleLink w:val="Imported Style 30"/>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Imported Style 31"/>
  </w:abstractNum>
  <w:abstractNum w:abstractNumId="63">
    <w:multiLevelType w:val="hybridMultilevel"/>
    <w:styleLink w:val="Imported Style 31"/>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32"/>
  </w:abstractNum>
  <w:abstractNum w:abstractNumId="65">
    <w:multiLevelType w:val="hybridMultilevel"/>
    <w:styleLink w:val="Imported Style 32"/>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Imported Style 33"/>
  </w:abstractNum>
  <w:abstractNum w:abstractNumId="67">
    <w:multiLevelType w:val="hybridMultilevel"/>
    <w:styleLink w:val="Imported Style 33"/>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34"/>
  </w:abstractNum>
  <w:abstractNum w:abstractNumId="69">
    <w:multiLevelType w:val="hybridMultilevel"/>
    <w:styleLink w:val="Imported Style 34"/>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35"/>
  </w:abstractNum>
  <w:abstractNum w:abstractNumId="71">
    <w:multiLevelType w:val="hybridMultilevel"/>
    <w:styleLink w:val="Imported Style 35"/>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36"/>
  </w:abstractNum>
  <w:abstractNum w:abstractNumId="73">
    <w:multiLevelType w:val="hybridMultilevel"/>
    <w:styleLink w:val="Imported Style 36"/>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Imported Style 37"/>
  </w:abstractNum>
  <w:abstractNum w:abstractNumId="75">
    <w:multiLevelType w:val="hybridMultilevel"/>
    <w:styleLink w:val="Imported Style 37"/>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Imported Style 38"/>
  </w:abstractNum>
  <w:abstractNum w:abstractNumId="77">
    <w:multiLevelType w:val="hybridMultilevel"/>
    <w:styleLink w:val="Imported Style 38"/>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39"/>
  </w:abstractNum>
  <w:abstractNum w:abstractNumId="79">
    <w:multiLevelType w:val="hybridMultilevel"/>
    <w:styleLink w:val="Imported Style 39"/>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40"/>
  </w:abstractNum>
  <w:abstractNum w:abstractNumId="81">
    <w:multiLevelType w:val="hybridMultilevel"/>
    <w:styleLink w:val="Imported Style 40"/>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41"/>
  </w:abstractNum>
  <w:abstractNum w:abstractNumId="83">
    <w:multiLevelType w:val="hybridMultilevel"/>
    <w:styleLink w:val="Imported Style 41"/>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42"/>
  </w:abstractNum>
  <w:abstractNum w:abstractNumId="85">
    <w:multiLevelType w:val="hybridMultilevel"/>
    <w:styleLink w:val="Imported Style 42"/>
    <w:lvl w:ilvl="0">
      <w:start w:val="1"/>
      <w:numFmt w:val="bullet"/>
      <w:suff w:val="tab"/>
      <w:lvlText w:val="•"/>
      <w:lvlJc w:val="left"/>
      <w:pPr>
        <w:ind w:left="6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 w:numId="59">
    <w:abstractNumId w:val="59"/>
  </w:num>
  <w:num w:numId="60">
    <w:abstractNumId w:val="58"/>
  </w:num>
  <w:num w:numId="61">
    <w:abstractNumId w:val="61"/>
  </w:num>
  <w:num w:numId="62">
    <w:abstractNumId w:val="60"/>
  </w:num>
  <w:num w:numId="63">
    <w:abstractNumId w:val="63"/>
  </w:num>
  <w:num w:numId="64">
    <w:abstractNumId w:val="62"/>
  </w:num>
  <w:num w:numId="65">
    <w:abstractNumId w:val="65"/>
  </w:num>
  <w:num w:numId="66">
    <w:abstractNumId w:val="64"/>
  </w:num>
  <w:num w:numId="67">
    <w:abstractNumId w:val="67"/>
  </w:num>
  <w:num w:numId="68">
    <w:abstractNumId w:val="66"/>
  </w:num>
  <w:num w:numId="69">
    <w:abstractNumId w:val="69"/>
  </w:num>
  <w:num w:numId="70">
    <w:abstractNumId w:val="68"/>
  </w:num>
  <w:num w:numId="71">
    <w:abstractNumId w:val="71"/>
  </w:num>
  <w:num w:numId="72">
    <w:abstractNumId w:val="70"/>
  </w:num>
  <w:num w:numId="73">
    <w:abstractNumId w:val="73"/>
  </w:num>
  <w:num w:numId="74">
    <w:abstractNumId w:val="72"/>
  </w:num>
  <w:num w:numId="75">
    <w:abstractNumId w:val="75"/>
  </w:num>
  <w:num w:numId="76">
    <w:abstractNumId w:val="74"/>
  </w:num>
  <w:num w:numId="77">
    <w:abstractNumId w:val="77"/>
  </w:num>
  <w:num w:numId="78">
    <w:abstractNumId w:val="76"/>
  </w:num>
  <w:num w:numId="79">
    <w:abstractNumId w:val="79"/>
  </w:num>
  <w:num w:numId="80">
    <w:abstractNumId w:val="78"/>
  </w:num>
  <w:num w:numId="81">
    <w:abstractNumId w:val="81"/>
  </w:num>
  <w:num w:numId="82">
    <w:abstractNumId w:val="80"/>
  </w:num>
  <w:num w:numId="83">
    <w:abstractNumId w:val="83"/>
  </w:num>
  <w:num w:numId="84">
    <w:abstractNumId w:val="82"/>
  </w:num>
  <w:num w:numId="85">
    <w:abstractNumId w:val="85"/>
  </w:num>
  <w:num w:numId="86">
    <w:abstractNumId w:val="8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4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1a3d2b"/>
      <w:spacing w:val="0"/>
      <w:kern w:val="0"/>
      <w:position w:val="0"/>
      <w:sz w:val="30"/>
      <w:szCs w:val="30"/>
      <w:u w:val="none" w:color="1a3d2b"/>
      <w:shd w:val="nil" w:color="auto" w:fill="auto"/>
      <w:vertAlign w:val="baseline"/>
      <w:lang w:val="en-US"/>
      <w14:textOutline>
        <w14:noFill/>
      </w14:textOutline>
      <w14:textFill>
        <w14:solidFill>
          <w14:srgbClr w14:val="1A3D2B"/>
        </w14:solidFill>
      </w14:textFill>
    </w:rPr>
  </w:style>
  <w:style w:type="numbering" w:styleId="Lettered">
    <w:name w:val="Lettered"/>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3"/>
      </w:numPr>
    </w:pPr>
  </w:style>
  <w:style w:type="numbering" w:styleId="Imported Style 2">
    <w:name w:val="Imported Style 2"/>
    <w:pPr>
      <w:numPr>
        <w:numId w:val="5"/>
      </w:numPr>
    </w:pPr>
  </w:style>
  <w:style w:type="numbering" w:styleId="Imported Style 3">
    <w:name w:val="Imported Style 3"/>
    <w:pPr>
      <w:numPr>
        <w:numId w:val="7"/>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5"/>
      </w:numPr>
    </w:pPr>
  </w:style>
  <w:style w:type="numbering" w:styleId="Imported Style 8">
    <w:name w:val="Imported Style 8"/>
    <w:pPr>
      <w:numPr>
        <w:numId w:val="17"/>
      </w:numPr>
    </w:pPr>
  </w:style>
  <w:style w:type="paragraph" w:styleId="Heading 2">
    <w:name w:val="Heading 2"/>
    <w:next w:val="Heading 2"/>
    <w:pPr>
      <w:keepNext w:val="0"/>
      <w:keepLines w:val="0"/>
      <w:pageBreakBefore w:val="0"/>
      <w:widowControl w:val="1"/>
      <w:shd w:val="clear" w:color="auto" w:fill="auto"/>
      <w:suppressAutoHyphens w:val="0"/>
      <w:bidi w:val="0"/>
      <w:spacing w:before="26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2d6a4f"/>
      <w:spacing w:val="0"/>
      <w:kern w:val="0"/>
      <w:position w:val="0"/>
      <w:sz w:val="25"/>
      <w:szCs w:val="25"/>
      <w:u w:val="none" w:color="2d6a4f"/>
      <w:shd w:val="nil" w:color="auto" w:fill="auto"/>
      <w:vertAlign w:val="baseline"/>
      <w:lang w:val="en-US"/>
      <w14:textOutline>
        <w14:noFill/>
      </w14:textOutline>
      <w14:textFill>
        <w14:solidFill>
          <w14:srgbClr w14:val="2D6A4F"/>
        </w14:solidFill>
      </w14:textFill>
    </w:rPr>
  </w:style>
  <w:style w:type="numbering" w:styleId="Imported Style 9">
    <w:name w:val="Imported Style 9"/>
    <w:pPr>
      <w:numPr>
        <w:numId w:val="19"/>
      </w:numPr>
    </w:pPr>
  </w:style>
  <w:style w:type="numbering" w:styleId="Imported Style 10">
    <w:name w:val="Imported Style 10"/>
    <w:pPr>
      <w:numPr>
        <w:numId w:val="21"/>
      </w:numPr>
    </w:pPr>
  </w:style>
  <w:style w:type="numbering" w:styleId="Imported Style 11">
    <w:name w:val="Imported Style 11"/>
    <w:pPr>
      <w:numPr>
        <w:numId w:val="23"/>
      </w:numPr>
    </w:pPr>
  </w:style>
  <w:style w:type="numbering" w:styleId="Imported Style 12">
    <w:name w:val="Imported Style 12"/>
    <w:pPr>
      <w:numPr>
        <w:numId w:val="25"/>
      </w:numPr>
    </w:pPr>
  </w:style>
  <w:style w:type="numbering" w:styleId="Imported Style 13">
    <w:name w:val="Imported Style 13"/>
    <w:pPr>
      <w:numPr>
        <w:numId w:val="27"/>
      </w:numPr>
    </w:pPr>
  </w:style>
  <w:style w:type="numbering" w:styleId="Imported Style 14">
    <w:name w:val="Imported Style 14"/>
    <w:pPr>
      <w:numPr>
        <w:numId w:val="29"/>
      </w:numPr>
    </w:pPr>
  </w:style>
  <w:style w:type="numbering" w:styleId="Imported Style 15">
    <w:name w:val="Imported Style 15"/>
    <w:pPr>
      <w:numPr>
        <w:numId w:val="31"/>
      </w:numPr>
    </w:pPr>
  </w:style>
  <w:style w:type="numbering" w:styleId="Imported Style 16">
    <w:name w:val="Imported Style 16"/>
    <w:pPr>
      <w:numPr>
        <w:numId w:val="33"/>
      </w:numPr>
    </w:pPr>
  </w:style>
  <w:style w:type="numbering" w:styleId="Imported Style 17">
    <w:name w:val="Imported Style 17"/>
    <w:pPr>
      <w:numPr>
        <w:numId w:val="35"/>
      </w:numPr>
    </w:pPr>
  </w:style>
  <w:style w:type="numbering" w:styleId="Imported Style 18">
    <w:name w:val="Imported Style 18"/>
    <w:pPr>
      <w:numPr>
        <w:numId w:val="37"/>
      </w:numPr>
    </w:pPr>
  </w:style>
  <w:style w:type="numbering" w:styleId="Imported Style 19">
    <w:name w:val="Imported Style 19"/>
    <w:pPr>
      <w:numPr>
        <w:numId w:val="39"/>
      </w:numPr>
    </w:pPr>
  </w:style>
  <w:style w:type="numbering" w:styleId="Imported Style 20">
    <w:name w:val="Imported Style 20"/>
    <w:pPr>
      <w:numPr>
        <w:numId w:val="41"/>
      </w:numPr>
    </w:pPr>
  </w:style>
  <w:style w:type="numbering" w:styleId="Imported Style 21">
    <w:name w:val="Imported Style 21"/>
    <w:pPr>
      <w:numPr>
        <w:numId w:val="43"/>
      </w:numPr>
    </w:pPr>
  </w:style>
  <w:style w:type="numbering" w:styleId="Imported Style 22">
    <w:name w:val="Imported Style 22"/>
    <w:pPr>
      <w:numPr>
        <w:numId w:val="45"/>
      </w:numPr>
    </w:pPr>
  </w:style>
  <w:style w:type="numbering" w:styleId="Imported Style 23">
    <w:name w:val="Imported Style 23"/>
    <w:pPr>
      <w:numPr>
        <w:numId w:val="47"/>
      </w:numPr>
    </w:pPr>
  </w:style>
  <w:style w:type="numbering" w:styleId="Imported Style 24">
    <w:name w:val="Imported Style 24"/>
    <w:pPr>
      <w:numPr>
        <w:numId w:val="49"/>
      </w:numPr>
    </w:pPr>
  </w:style>
  <w:style w:type="numbering" w:styleId="Imported Style 25">
    <w:name w:val="Imported Style 25"/>
    <w:pPr>
      <w:numPr>
        <w:numId w:val="51"/>
      </w:numPr>
    </w:pPr>
  </w:style>
  <w:style w:type="numbering" w:styleId="Imported Style 26">
    <w:name w:val="Imported Style 26"/>
    <w:pPr>
      <w:numPr>
        <w:numId w:val="53"/>
      </w:numPr>
    </w:pPr>
  </w:style>
  <w:style w:type="numbering" w:styleId="Imported Style 27">
    <w:name w:val="Imported Style 27"/>
    <w:pPr>
      <w:numPr>
        <w:numId w:val="55"/>
      </w:numPr>
    </w:pPr>
  </w:style>
  <w:style w:type="numbering" w:styleId="Imported Style 28">
    <w:name w:val="Imported Style 28"/>
    <w:pPr>
      <w:numPr>
        <w:numId w:val="57"/>
      </w:numPr>
    </w:pPr>
  </w:style>
  <w:style w:type="numbering" w:styleId="Imported Style 29">
    <w:name w:val="Imported Style 29"/>
    <w:pPr>
      <w:numPr>
        <w:numId w:val="59"/>
      </w:numPr>
    </w:pPr>
  </w:style>
  <w:style w:type="numbering" w:styleId="Imported Style 30">
    <w:name w:val="Imported Style 30"/>
    <w:pPr>
      <w:numPr>
        <w:numId w:val="61"/>
      </w:numPr>
    </w:pPr>
  </w:style>
  <w:style w:type="numbering" w:styleId="Imported Style 31">
    <w:name w:val="Imported Style 31"/>
    <w:pPr>
      <w:numPr>
        <w:numId w:val="63"/>
      </w:numPr>
    </w:pPr>
  </w:style>
  <w:style w:type="numbering" w:styleId="Imported Style 32">
    <w:name w:val="Imported Style 32"/>
    <w:pPr>
      <w:numPr>
        <w:numId w:val="65"/>
      </w:numPr>
    </w:pPr>
  </w:style>
  <w:style w:type="numbering" w:styleId="Imported Style 33">
    <w:name w:val="Imported Style 33"/>
    <w:pPr>
      <w:numPr>
        <w:numId w:val="67"/>
      </w:numPr>
    </w:pPr>
  </w:style>
  <w:style w:type="numbering" w:styleId="Imported Style 34">
    <w:name w:val="Imported Style 34"/>
    <w:pPr>
      <w:numPr>
        <w:numId w:val="69"/>
      </w:numPr>
    </w:pPr>
  </w:style>
  <w:style w:type="numbering" w:styleId="Imported Style 35">
    <w:name w:val="Imported Style 35"/>
    <w:pPr>
      <w:numPr>
        <w:numId w:val="71"/>
      </w:numPr>
    </w:pPr>
  </w:style>
  <w:style w:type="numbering" w:styleId="Imported Style 36">
    <w:name w:val="Imported Style 36"/>
    <w:pPr>
      <w:numPr>
        <w:numId w:val="73"/>
      </w:numPr>
    </w:pPr>
  </w:style>
  <w:style w:type="numbering" w:styleId="Imported Style 37">
    <w:name w:val="Imported Style 37"/>
    <w:pPr>
      <w:numPr>
        <w:numId w:val="75"/>
      </w:numPr>
    </w:pPr>
  </w:style>
  <w:style w:type="numbering" w:styleId="Imported Style 38">
    <w:name w:val="Imported Style 38"/>
    <w:pPr>
      <w:numPr>
        <w:numId w:val="77"/>
      </w:numPr>
    </w:pPr>
  </w:style>
  <w:style w:type="numbering" w:styleId="Imported Style 39">
    <w:name w:val="Imported Style 39"/>
    <w:pPr>
      <w:numPr>
        <w:numId w:val="79"/>
      </w:numPr>
    </w:pPr>
  </w:style>
  <w:style w:type="numbering" w:styleId="Imported Style 40">
    <w:name w:val="Imported Style 40"/>
    <w:pPr>
      <w:numPr>
        <w:numId w:val="81"/>
      </w:numPr>
    </w:pPr>
  </w:style>
  <w:style w:type="numbering" w:styleId="Imported Style 41">
    <w:name w:val="Imported Style 41"/>
    <w:pPr>
      <w:numPr>
        <w:numId w:val="83"/>
      </w:numPr>
    </w:pPr>
  </w:style>
  <w:style w:type="numbering" w:styleId="Imported Style 42">
    <w:name w:val="Imported Style 42"/>
    <w:pPr>
      <w:numPr>
        <w:numId w:val="8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