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jc w:val="left"/>
      </w:pPr>
      <w:r>
        <w:rPr>
          <w:rFonts w:ascii="Arial" w:cs="Arial" w:eastAsia="Arial" w:hAnsi="Arial"/>
          <w:b w:val="false"/>
          <w:bCs w:val="false"/>
          <w:i w:val="false"/>
          <w:iCs w:val="false"/>
          <w:color w:val="1C1A16"/>
          <w:sz w:val="22"/>
          <w:szCs w:val="22"/>
        </w:rPr>
        <w:t xml:space="preserve"/>
      </w:r>
    </w:p>
    <w:p>
      <w:pPr>
        <w:spacing w:before="0" w:after="80"/>
        <w:jc w:val="center"/>
      </w:pPr>
      <w:r>
        <w:rPr>
          <w:rFonts w:ascii="Arial" w:cs="Arial" w:eastAsia="Arial" w:hAnsi="Arial"/>
          <w:b/>
          <w:bCs/>
          <w:i w:val="false"/>
          <w:iCs w:val="false"/>
          <w:color w:val="1A3D2B"/>
          <w:sz w:val="56"/>
          <w:szCs w:val="56"/>
        </w:rPr>
        <w:t xml:space="preserve">O&amp;C LANDS</w:t>
      </w:r>
    </w:p>
    <w:p>
      <w:pPr>
        <w:spacing w:before="0" w:after="80"/>
        <w:jc w:val="center"/>
      </w:pPr>
      <w:r>
        <w:rPr>
          <w:rFonts w:ascii="Arial" w:cs="Arial" w:eastAsia="Arial" w:hAnsi="Arial"/>
          <w:b w:val="false"/>
          <w:bCs w:val="false"/>
          <w:i w:val="false"/>
          <w:iCs w:val="false"/>
          <w:color w:val="2D6A4F"/>
          <w:sz w:val="34"/>
          <w:szCs w:val="34"/>
        </w:rPr>
        <w:t xml:space="preserve">Economic &amp; Ecological Truth</w:t>
      </w:r>
    </w:p>
    <w:p>
      <w:pPr>
        <w:spacing w:before="0" w:after="400"/>
        <w:jc w:val="center"/>
      </w:pPr>
      <w:r>
        <w:rPr>
          <w:rFonts w:ascii="Arial" w:cs="Arial" w:eastAsia="Arial" w:hAnsi="Arial"/>
          <w:b w:val="false"/>
          <w:bCs w:val="false"/>
          <w:i/>
          <w:iCs/>
          <w:color w:val="666666"/>
          <w:sz w:val="24"/>
          <w:szCs w:val="24"/>
        </w:rPr>
        <w:t xml:space="preserve">90-Year Data Analysis — Seal Rock &amp; Waldport Community</w:t>
      </w:r>
    </w:p>
    <w:p>
      <w:pPr>
        <w:pBdr>
          <w:top w:val="single" w:color="C44B1A" w:sz="8"/>
          <w:left w:val="single" w:color="C44B1A" w:sz="18"/>
          <w:right w:val="single" w:color="C44B1A" w:sz="4"/>
        </w:pBdr>
        <w:shd w:fill="FFF0EE" w:val="clear"/>
        <w:spacing w:before="200" w:after="0"/>
        <w:ind w:left="180" w:right="180"/>
        <w:jc w:val="left"/>
      </w:pPr>
      <w:r>
        <w:rPr>
          <w:rFonts w:ascii="Arial" w:cs="Arial" w:eastAsia="Arial" w:hAnsi="Arial"/>
          <w:b/>
          <w:bCs/>
          <w:i w:val="false"/>
          <w:iCs w:val="false"/>
          <w:color w:val="7B0000"/>
          <w:sz w:val="23"/>
          <w:szCs w:val="23"/>
        </w:rPr>
        <w:t xml:space="preserve">⚠  SCOPING COMMENT DEADLINE: MARCH 23, 2026</w:t>
      </w:r>
    </w:p>
    <w:p>
      <w:pPr>
        <w:pBdr>
          <w:left w:val="single" w:color="C44B1A" w:sz="18"/>
          <w:right w:val="single" w:color="C44B1A" w:sz="4"/>
        </w:pBdr>
        <w:shd w:fill="FFF0EE" w:val="clear"/>
        <w:spacing w:before="0" w:after="0"/>
        <w:ind w:left="180" w:right="180"/>
        <w:jc w:val="left"/>
      </w:pPr>
      <w:r>
        <w:rPr>
          <w:rFonts w:ascii="Arial" w:cs="Arial" w:eastAsia="Arial" w:hAnsi="Arial"/>
          <w:b w:val="false"/>
          <w:bCs w:val="false"/>
          <w:i w:val="false"/>
          <w:iCs w:val="false"/>
          <w:color w:val="1C1A16"/>
          <w:sz w:val="21"/>
          <w:szCs w:val="21"/>
        </w:rPr>
        <w:t xml:space="preserve">Submit: https://eplanning.blm.gov  |  Project No. DOI-BLM-ORWA-0000-2026-0001-RMP-EIS</w:t>
      </w:r>
    </w:p>
    <w:p>
      <w:pPr>
        <w:pBdr>
          <w:bottom w:val="single" w:color="C44B1A" w:sz="8"/>
          <w:left w:val="single" w:color="C44B1A" w:sz="18"/>
          <w:right w:val="single" w:color="C44B1A" w:sz="4"/>
        </w:pBdr>
        <w:shd w:fill="FFF0EE" w:val="clear"/>
        <w:spacing w:before="0" w:after="200"/>
        <w:ind w:left="180" w:right="180"/>
        <w:jc w:val="left"/>
      </w:pPr>
      <w:r>
        <w:rPr>
          <w:rFonts w:ascii="Arial" w:cs="Arial" w:eastAsia="Arial" w:hAnsi="Arial"/>
          <w:b w:val="false"/>
          <w:bCs w:val="false"/>
          <w:i w:val="false"/>
          <w:iCs w:val="false"/>
          <w:color w:val="1C1A16"/>
          <w:sz w:val="21"/>
          <w:szCs w:val="21"/>
        </w:rPr>
        <w:t xml:space="preserve">Email: BLM_OR_Revision_Scoping@blm.gov  |  Mail: BLM OR930, 1220 SW 3rd Ave, Portland OR 97204</w:t>
      </w:r>
    </w:p>
    <w:p>
      <w:pPr>
        <w:spacing w:before="300" w:after="0"/>
        <w:jc w:val="left"/>
      </w:pPr>
      <w:r>
        <w:rPr>
          <w:rFonts w:ascii="Arial" w:cs="Arial" w:eastAsia="Arial" w:hAnsi="Arial"/>
          <w:b w:val="false"/>
          <w:bCs w:val="false"/>
          <w:i w:val="false"/>
          <w:iCs w:val="false"/>
          <w:color w:val="1C1A16"/>
          <w:sz w:val="22"/>
          <w:szCs w:val="22"/>
        </w:rPr>
        <w:t xml:space="preserve"/>
      </w:r>
    </w:p>
    <w:p>
      <w:pPr>
        <w:spacing w:before="200" w:after="100"/>
        <w:jc w:val="left"/>
      </w:pPr>
      <w:r>
        <w:rPr>
          <w:rFonts w:ascii="Arial" w:cs="Arial" w:eastAsia="Arial" w:hAnsi="Arial"/>
          <w:b/>
          <w:bCs/>
          <w:i w:val="false"/>
          <w:iCs w:val="false"/>
          <w:color w:val="1A3D2B"/>
          <w:sz w:val="22"/>
          <w:szCs w:val="22"/>
        </w:rPr>
        <w:t xml:space="preserve">Contents of This Report</w:t>
      </w:r>
    </w:p>
    <w:p>
      <w:pPr>
        <w:spacing w:before="50" w:after="50"/>
        <w:ind w:left="360"/>
        <w:jc w:val="left"/>
      </w:pPr>
      <w:r>
        <w:rPr>
          <w:rFonts w:ascii="Arial" w:cs="Arial" w:eastAsia="Arial" w:hAnsi="Arial"/>
          <w:b w:val="false"/>
          <w:bCs w:val="false"/>
          <w:i w:val="false"/>
          <w:iCs w:val="false"/>
          <w:color w:val="1C1A16"/>
          <w:sz w:val="22"/>
          <w:szCs w:val="22"/>
        </w:rPr>
        <w:t xml:space="preserve">Section 1  —  County Economics: 90-Year Data</w:t>
      </w:r>
    </w:p>
    <w:p>
      <w:pPr>
        <w:spacing w:before="50" w:after="50"/>
        <w:ind w:left="360"/>
        <w:jc w:val="left"/>
      </w:pPr>
      <w:r>
        <w:rPr>
          <w:rFonts w:ascii="Arial" w:cs="Arial" w:eastAsia="Arial" w:hAnsi="Arial"/>
          <w:b w:val="false"/>
          <w:bCs w:val="false"/>
          <w:i w:val="false"/>
          <w:iCs w:val="false"/>
          <w:color w:val="1C1A16"/>
          <w:sz w:val="22"/>
          <w:szCs w:val="22"/>
        </w:rPr>
        <w:t xml:space="preserve">Section 2  —  Timber Jobs Reality</w:t>
      </w:r>
    </w:p>
    <w:p>
      <w:pPr>
        <w:spacing w:before="50" w:after="50"/>
        <w:ind w:left="360"/>
        <w:jc w:val="left"/>
      </w:pPr>
      <w:r>
        <w:rPr>
          <w:rFonts w:ascii="Arial" w:cs="Arial" w:eastAsia="Arial" w:hAnsi="Arial"/>
          <w:b w:val="false"/>
          <w:bCs w:val="false"/>
          <w:i w:val="false"/>
          <w:iCs w:val="false"/>
          <w:color w:val="1C1A16"/>
          <w:sz w:val="22"/>
          <w:szCs w:val="22"/>
        </w:rPr>
        <w:t xml:space="preserve">Section 3  —  Wildfire: Myths vs. Peer-Reviewed Science</w:t>
      </w:r>
    </w:p>
    <w:p>
      <w:pPr>
        <w:spacing w:before="50" w:after="50"/>
        <w:ind w:left="360"/>
        <w:jc w:val="left"/>
      </w:pPr>
      <w:r>
        <w:rPr>
          <w:rFonts w:ascii="Arial" w:cs="Arial" w:eastAsia="Arial" w:hAnsi="Arial"/>
          <w:b w:val="false"/>
          <w:bCs w:val="false"/>
          <w:i w:val="false"/>
          <w:iCs w:val="false"/>
          <w:color w:val="1C1A16"/>
          <w:sz w:val="22"/>
          <w:szCs w:val="22"/>
        </w:rPr>
        <w:t xml:space="preserve">Section 4  —  Herbicide &amp; Toxic Chemical Timeline</w:t>
      </w:r>
    </w:p>
    <w:p>
      <w:pPr>
        <w:spacing w:before="50" w:after="50"/>
        <w:ind w:left="360"/>
        <w:jc w:val="left"/>
      </w:pPr>
      <w:r>
        <w:rPr>
          <w:rFonts w:ascii="Arial" w:cs="Arial" w:eastAsia="Arial" w:hAnsi="Arial"/>
          <w:b w:val="false"/>
          <w:bCs w:val="false"/>
          <w:i w:val="false"/>
          <w:iCs w:val="false"/>
          <w:color w:val="1C1A16"/>
          <w:sz w:val="22"/>
          <w:szCs w:val="22"/>
        </w:rPr>
        <w:t xml:space="preserve">Section 5  —  O&amp;C Act History: What It Actually Was</w:t>
      </w:r>
    </w:p>
    <w:p>
      <w:pPr>
        <w:spacing w:before="50" w:after="50"/>
        <w:ind w:left="360"/>
        <w:jc w:val="left"/>
      </w:pPr>
      <w:r>
        <w:rPr>
          <w:rFonts w:ascii="Arial" w:cs="Arial" w:eastAsia="Arial" w:hAnsi="Arial"/>
          <w:b w:val="false"/>
          <w:bCs w:val="false"/>
          <w:i w:val="false"/>
          <w:iCs w:val="false"/>
          <w:color w:val="1C1A16"/>
          <w:sz w:val="22"/>
          <w:szCs w:val="22"/>
        </w:rPr>
        <w:t xml:space="preserve">Section 6  —  Formal BLM Submission Text</w:t>
      </w:r>
    </w:p>
    <w:p>
      <w:r>
        <w:br w:type="page"/>
      </w:r>
    </w:p>
    <w:p>
      <w:pPr>
        <w:pStyle w:val="Heading1"/>
        <w:pBdr>
          <w:bottom w:val="single" w:color="40916C" w:sz="10" w:space="4"/>
        </w:pBdr>
        <w:spacing w:before="340" w:after="160"/>
        <w:jc w:val="left"/>
      </w:pPr>
      <w:r>
        <w:rPr>
          <w:rFonts w:ascii="Arial" w:cs="Arial" w:eastAsia="Arial" w:hAnsi="Arial"/>
          <w:b/>
          <w:bCs/>
          <w:i w:val="false"/>
          <w:iCs w:val="false"/>
          <w:color w:val="1A3D2B"/>
          <w:sz w:val="30"/>
          <w:szCs w:val="30"/>
        </w:rPr>
        <w:t xml:space="preserve">Section 1 — County Economics: 90-Year Data</w:t>
      </w:r>
    </w:p>
    <w:p>
      <w:pPr>
        <w:spacing w:before="80" w:after="80"/>
        <w:jc w:val="left"/>
      </w:pPr>
      <w:r>
        <w:rPr>
          <w:rFonts w:ascii="Arial" w:cs="Arial" w:eastAsia="Arial" w:hAnsi="Arial"/>
          <w:b w:val="false"/>
          <w:bCs w:val="false"/>
          <w:i w:val="false"/>
          <w:iCs w:val="false"/>
          <w:color w:val="1C1A16"/>
          <w:sz w:val="22"/>
          <w:szCs w:val="22"/>
        </w:rPr>
        <w:t xml:space="preserve">Timber harvest volume, county revenue, and the real economic trajectory of Western Oregon O&amp;C (Oregon and California Revested Railroad) counties over 90 years.</w:t>
      </w:r>
    </w:p>
    <w:p>
      <w:pPr>
        <w:pBdr>
          <w:top w:val="single" w:color="C44B1A" w:sz="8"/>
          <w:left w:val="single" w:color="C44B1A" w:sz="18"/>
          <w:right w:val="single" w:color="C44B1A" w:sz="4"/>
        </w:pBdr>
        <w:shd w:fill="FFF0EE" w:val="clear"/>
        <w:spacing w:before="200" w:after="0"/>
        <w:ind w:left="180" w:right="180"/>
        <w:jc w:val="left"/>
      </w:pPr>
      <w:r>
        <w:rPr>
          <w:rFonts w:ascii="Arial" w:cs="Arial" w:eastAsia="Arial" w:hAnsi="Arial"/>
          <w:b/>
          <w:bCs/>
          <w:i w:val="false"/>
          <w:iCs w:val="false"/>
          <w:color w:val="7B0000"/>
          <w:sz w:val="23"/>
          <w:szCs w:val="23"/>
        </w:rPr>
        <w:t xml:space="preserve">Critical Finding: The Big Beautiful Bill (signed July 4, 2026)</w:t>
      </w:r>
    </w:p>
    <w:p>
      <w:pPr>
        <w:pBdr>
          <w:bottom w:val="single" w:color="C44B1A" w:sz="8"/>
          <w:left w:val="single" w:color="C44B1A" w:sz="18"/>
          <w:right w:val="single" w:color="C44B1A" w:sz="4"/>
        </w:pBdr>
        <w:shd w:fill="FFF0EE" w:val="clear"/>
        <w:spacing w:before="0" w:after="200"/>
        <w:ind w:left="180" w:right="180"/>
        <w:jc w:val="left"/>
      </w:pPr>
      <w:r>
        <w:rPr>
          <w:rFonts w:ascii="Arial" w:cs="Arial" w:eastAsia="Arial" w:hAnsi="Arial"/>
          <w:b w:val="false"/>
          <w:bCs w:val="false"/>
          <w:i w:val="false"/>
          <w:iCs w:val="false"/>
          <w:color w:val="1C1A16"/>
          <w:sz w:val="21"/>
          <w:szCs w:val="21"/>
        </w:rPr>
        <w:t xml:space="preserve">The Big Beautiful Bill redirects future federal timber sale profits to the federal government — not to counties. The BLM's revenue-sharing justification for this RMP revision is legally undermined by this legislation. The Association of Oregon &amp; California Counties (AOCC) has not adequately addressed this shift.</w:t>
      </w:r>
    </w:p>
    <w:p>
      <w:pPr>
        <w:spacing w:before="120" w:after="0"/>
        <w:jc w:val="left"/>
      </w:pPr>
      <w:r>
        <w:rPr>
          <w:rFonts w:ascii="Arial" w:cs="Arial" w:eastAsia="Arial" w:hAnsi="Arial"/>
          <w:b w:val="false"/>
          <w:bCs w:val="false"/>
          <w:i w:val="false"/>
          <w:iCs w:val="false"/>
          <w:color w:val="1C1A16"/>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44B1A"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Peak Harvest Year (1964)</w:t>
            </w:r>
          </w:p>
          <w:p>
            <w:pPr>
              <w:spacing w:before="0" w:after="40"/>
              <w:jc w:val="left"/>
            </w:pPr>
            <w:r>
              <w:rPr>
                <w:rFonts w:ascii="Arial" w:cs="Arial" w:eastAsia="Arial" w:hAnsi="Arial"/>
                <w:b/>
                <w:bCs/>
                <w:i w:val="false"/>
                <w:iCs w:val="false"/>
                <w:color w:val="1A3D2B"/>
                <w:sz w:val="32"/>
                <w:szCs w:val="32"/>
              </w:rPr>
              <w:t xml:space="preserve">1.638B</w:t>
            </w:r>
          </w:p>
          <w:p>
            <w:pPr>
              <w:spacing w:before="0" w:after="0"/>
              <w:jc w:val="left"/>
            </w:pPr>
            <w:r>
              <w:rPr>
                <w:rFonts w:ascii="Arial" w:cs="Arial" w:eastAsia="Arial" w:hAnsi="Arial"/>
                <w:b w:val="false"/>
                <w:bCs w:val="false"/>
                <w:i/>
                <w:iCs/>
                <w:color w:val="666666"/>
                <w:sz w:val="18"/>
                <w:szCs w:val="18"/>
              </w:rPr>
              <w:t xml:space="preserve">Board feet annually</w:t>
            </w:r>
          </w:p>
        </w:tc>
        <w:tc>
          <w:tcPr>
            <w:tcW w:type="dxa" w:w="2340"/>
            <w:tcBorders>
              <w:top w:val="single" w:color="C44B1A"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Post-2000 Annual Average</w:t>
            </w:r>
          </w:p>
          <w:p>
            <w:pPr>
              <w:spacing w:before="0" w:after="40"/>
              <w:jc w:val="left"/>
            </w:pPr>
            <w:r>
              <w:rPr>
                <w:rFonts w:ascii="Arial" w:cs="Arial" w:eastAsia="Arial" w:hAnsi="Arial"/>
                <w:b/>
                <w:bCs/>
                <w:i w:val="false"/>
                <w:iCs w:val="false"/>
                <w:color w:val="1A3D2B"/>
                <w:sz w:val="32"/>
                <w:szCs w:val="32"/>
              </w:rPr>
              <w:t xml:space="preserve">~160MMbf</w:t>
            </w:r>
          </w:p>
          <w:p>
            <w:pPr>
              <w:spacing w:before="0" w:after="0"/>
              <w:jc w:val="left"/>
            </w:pPr>
            <w:r>
              <w:rPr>
                <w:rFonts w:ascii="Arial" w:cs="Arial" w:eastAsia="Arial" w:hAnsi="Arial"/>
                <w:b w:val="false"/>
                <w:bCs w:val="false"/>
                <w:i/>
                <w:iCs/>
                <w:color w:val="666666"/>
                <w:sz w:val="18"/>
                <w:szCs w:val="18"/>
              </w:rPr>
              <w:t xml:space="preserve">90% decline from peak</w:t>
            </w:r>
          </w:p>
        </w:tc>
        <w:tc>
          <w:tcPr>
            <w:tcW w:type="dxa" w:w="2340"/>
            <w:tcBorders>
              <w:top w:val="single" w:color="C89B3C"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County Revenue Peak (1989)</w:t>
            </w:r>
          </w:p>
          <w:p>
            <w:pPr>
              <w:spacing w:before="0" w:after="40"/>
              <w:jc w:val="left"/>
            </w:pPr>
            <w:r>
              <w:rPr>
                <w:rFonts w:ascii="Arial" w:cs="Arial" w:eastAsia="Arial" w:hAnsi="Arial"/>
                <w:b/>
                <w:bCs/>
                <w:i w:val="false"/>
                <w:iCs w:val="false"/>
                <w:color w:val="1A3D2B"/>
                <w:sz w:val="32"/>
                <w:szCs w:val="32"/>
              </w:rPr>
              <w:t xml:space="preserve">$109M</w:t>
            </w:r>
          </w:p>
          <w:p>
            <w:pPr>
              <w:spacing w:before="0" w:after="0"/>
              <w:jc w:val="left"/>
            </w:pPr>
            <w:r>
              <w:rPr>
                <w:rFonts w:ascii="Arial" w:cs="Arial" w:eastAsia="Arial" w:hAnsi="Arial"/>
                <w:b w:val="false"/>
                <w:bCs w:val="false"/>
                <w:i/>
                <w:iCs/>
                <w:color w:val="666666"/>
                <w:sz w:val="18"/>
                <w:szCs w:val="18"/>
              </w:rPr>
              <w:t xml:space="preserve">O&amp;C timber receipts to counties</w:t>
            </w:r>
          </w:p>
        </w:tc>
        <w:tc>
          <w:tcPr>
            <w:tcW w:type="dxa" w:w="2340"/>
            <w:tcBorders>
              <w:top w:val="single" w:color="8B5E3C"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Recent County Payments</w:t>
            </w:r>
          </w:p>
          <w:p>
            <w:pPr>
              <w:spacing w:before="0" w:after="40"/>
              <w:jc w:val="left"/>
            </w:pPr>
            <w:r>
              <w:rPr>
                <w:rFonts w:ascii="Arial" w:cs="Arial" w:eastAsia="Arial" w:hAnsi="Arial"/>
                <w:b/>
                <w:bCs/>
                <w:i w:val="false"/>
                <w:iCs w:val="false"/>
                <w:color w:val="1A3D2B"/>
                <w:sz w:val="32"/>
                <w:szCs w:val="32"/>
              </w:rPr>
              <w:t xml:space="preserve">$25–30M</w:t>
            </w:r>
          </w:p>
          <w:p>
            <w:pPr>
              <w:spacing w:before="0" w:after="0"/>
              <w:jc w:val="left"/>
            </w:pPr>
            <w:r>
              <w:rPr>
                <w:rFonts w:ascii="Arial" w:cs="Arial" w:eastAsia="Arial" w:hAnsi="Arial"/>
                <w:b w:val="false"/>
                <w:bCs w:val="false"/>
                <w:i/>
                <w:iCs/>
                <w:color w:val="666666"/>
                <w:sz w:val="18"/>
                <w:szCs w:val="18"/>
              </w:rPr>
              <w:t xml:space="preserve">Still far below pre-ESA levels</w:t>
            </w:r>
          </w:p>
        </w:tc>
      </w:tr>
    </w:tbl>
    <w:p>
      <w:pPr>
        <w:spacing w:before="20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Harvest Volume Trend: 1940–2025</w:t>
      </w:r>
    </w:p>
    <w:p>
      <w:pPr>
        <w:spacing w:before="80" w:after="80"/>
        <w:jc w:val="left"/>
      </w:pPr>
      <w:r>
        <w:rPr>
          <w:rFonts w:ascii="Arial" w:cs="Arial" w:eastAsia="Arial" w:hAnsi="Arial"/>
          <w:b w:val="false"/>
          <w:bCs w:val="false"/>
          <w:i w:val="false"/>
          <w:iCs w:val="false"/>
          <w:color w:val="1C1A16"/>
          <w:sz w:val="22"/>
          <w:szCs w:val="22"/>
        </w:rPr>
        <w:t xml:space="preserve">Annual Bureau of Land Management (BLM) Western Oregon timber harvest in Million Board Feet (MMbf). Peak in 1964 at 1,638 MMbf; post-ESA collapse to under 100 MMbf by 1994; modest recovery to 267 MMbf in 2025 — still 84% below peak.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5100"/>
        <w:gridCol w:w="1960"/>
      </w:tblGrid>
      <w:tr>
        <w:trPr>
          <w:tblHeader/>
        </w:trPr>
        <w:tc>
          <w:tcPr>
            <w:tcW w:type="dxa" w:w="9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Year</w:t>
            </w:r>
          </w:p>
        </w:tc>
        <w:tc>
          <w:tcPr>
            <w:tcW w:type="dxa" w:w="14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Harvest (MMbf)</w:t>
            </w:r>
          </w:p>
        </w:tc>
        <w:tc>
          <w:tcPr>
            <w:tcW w:type="dxa" w:w="51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Key Event / Context</w:t>
            </w:r>
          </w:p>
        </w:tc>
        <w:tc>
          <w:tcPr>
            <w:tcW w:type="dxa" w:w="19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 of 1964 Peak</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1940</w:t>
            </w:r>
          </w:p>
        </w:tc>
        <w:tc>
          <w:tcPr>
            <w:tcW w:type="dxa" w:w="1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180</w:t>
            </w:r>
          </w:p>
        </w:tc>
        <w:tc>
          <w:tcPr>
            <w:tcW w:type="dxa" w:w="51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O&amp;C program early years</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11%</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1950</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400</w:t>
            </w:r>
          </w:p>
        </w:tc>
        <w:tc>
          <w:tcPr>
            <w:tcW w:type="dxa" w:w="5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Post-WWII housing boom; logging expansion</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24%</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1960</w:t>
            </w:r>
          </w:p>
        </w:tc>
        <w:tc>
          <w:tcPr>
            <w:tcW w:type="dxa" w:w="1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900</w:t>
            </w:r>
          </w:p>
        </w:tc>
        <w:tc>
          <w:tcPr>
            <w:tcW w:type="dxa" w:w="51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Industrial clearcut era begins</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55%</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1964</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1,638</w:t>
            </w:r>
          </w:p>
        </w:tc>
        <w:tc>
          <w:tcPr>
            <w:tcW w:type="dxa" w:w="5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ALL-TIME PEAK</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100%</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1976</w:t>
            </w:r>
          </w:p>
        </w:tc>
        <w:tc>
          <w:tcPr>
            <w:tcW w:type="dxa" w:w="1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1,100</w:t>
            </w:r>
          </w:p>
        </w:tc>
        <w:tc>
          <w:tcPr>
            <w:tcW w:type="dxa" w:w="51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High-water era of large-scale harvest</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67%</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1989</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950</w:t>
            </w:r>
          </w:p>
        </w:tc>
        <w:tc>
          <w:tcPr>
            <w:tcW w:type="dxa" w:w="5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Last pre-ESA high; county revenue $109M</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58%</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1990</w:t>
            </w:r>
          </w:p>
        </w:tc>
        <w:tc>
          <w:tcPr>
            <w:tcW w:type="dxa" w:w="1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704</w:t>
            </w:r>
          </w:p>
        </w:tc>
        <w:tc>
          <w:tcPr>
            <w:tcW w:type="dxa" w:w="51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Northern Spotted Owl listed (ESA — Endangered Species Act)</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43%</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1992</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350</w:t>
            </w:r>
          </w:p>
        </w:tc>
        <w:tc>
          <w:tcPr>
            <w:tcW w:type="dxa" w:w="5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Marbled Murrelet listed; injunctions begin</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21%</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1994</w:t>
            </w:r>
          </w:p>
        </w:tc>
        <w:tc>
          <w:tcPr>
            <w:tcW w:type="dxa" w:w="1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90</w:t>
            </w:r>
          </w:p>
        </w:tc>
        <w:tc>
          <w:tcPr>
            <w:tcW w:type="dxa" w:w="51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Post-NWFP (Northwest Forest Plan) collapse; county revenue $21M</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5.5%</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2000</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80</w:t>
            </w:r>
          </w:p>
        </w:tc>
        <w:tc>
          <w:tcPr>
            <w:tcW w:type="dxa" w:w="5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Stable at severely reduced levels</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2010</w:t>
            </w:r>
          </w:p>
        </w:tc>
        <w:tc>
          <w:tcPr>
            <w:tcW w:type="dxa" w:w="1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130</w:t>
            </w:r>
          </w:p>
        </w:tc>
        <w:tc>
          <w:tcPr>
            <w:tcW w:type="dxa" w:w="51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Modest increase; automation complete</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8%</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2020</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210</w:t>
            </w:r>
          </w:p>
        </w:tc>
        <w:tc>
          <w:tcPr>
            <w:tcW w:type="dxa" w:w="5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Slight upward trend</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13%</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2025</w:t>
            </w:r>
          </w:p>
        </w:tc>
        <w:tc>
          <w:tcPr>
            <w:tcW w:type="dxa" w:w="1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267</w:t>
            </w:r>
          </w:p>
        </w:tc>
        <w:tc>
          <w:tcPr>
            <w:tcW w:type="dxa" w:w="51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Most recent; still 84% below peak. BBB redirects revenue to feds.</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16%</w:t>
            </w:r>
          </w:p>
        </w:tc>
      </w:tr>
    </w:tbl>
    <w:p>
      <w:pPr>
        <w:spacing w:before="20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County Revenue: O&amp;C Timber Receipts vs. Federal Relief Payments</w:t>
      </w:r>
    </w:p>
    <w:p>
      <w:pPr>
        <w:spacing w:before="80" w:after="80"/>
        <w:jc w:val="left"/>
      </w:pPr>
      <w:r>
        <w:rPr>
          <w:rFonts w:ascii="Arial" w:cs="Arial" w:eastAsia="Arial" w:hAnsi="Arial"/>
          <w:b w:val="false"/>
          <w:bCs w:val="false"/>
          <w:i w:val="false"/>
          <w:iCs w:val="false"/>
          <w:color w:val="1C1A16"/>
          <w:sz w:val="22"/>
          <w:szCs w:val="22"/>
        </w:rPr>
        <w:t xml:space="preserve">Comparison of actual O&amp;C timber receipts paid to counties versus federal relief payments (Spotted Owl Safety Net; Secure Rural Schools Act / SRS). All figures in millions of dollars.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000"/>
        <w:gridCol w:w="2200"/>
        <w:gridCol w:w="1600"/>
        <w:gridCol w:w="2660"/>
      </w:tblGrid>
      <w:tr>
        <w:trPr>
          <w:tblHeader/>
        </w:trPr>
        <w:tc>
          <w:tcPr>
            <w:tcW w:type="dxa" w:w="9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Year</w:t>
            </w:r>
          </w:p>
        </w:tc>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O&amp;C Timber Receipts ($M)</w:t>
            </w:r>
          </w:p>
        </w:tc>
        <w:tc>
          <w:tcPr>
            <w:tcW w:type="dxa" w:w="22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Federal Relief Payments ($M)</w:t>
            </w:r>
          </w:p>
        </w:tc>
        <w:tc>
          <w:tcPr>
            <w:tcW w:type="dxa" w:w="16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Combined ($M)</w:t>
            </w:r>
          </w:p>
        </w:tc>
        <w:tc>
          <w:tcPr>
            <w:tcW w:type="dxa" w:w="26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Notes</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1985</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$75</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$0</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$75</w:t>
            </w:r>
          </w:p>
        </w:tc>
        <w:tc>
          <w:tcPr>
            <w:tcW w:type="dxa" w:w="26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Pre-ESA baseline</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1989</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89B3C"/>
                <w:sz w:val="20"/>
                <w:szCs w:val="20"/>
              </w:rPr>
              <w:t xml:space="preserve">$109</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$0</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89B3C"/>
                <w:sz w:val="20"/>
                <w:szCs w:val="20"/>
              </w:rPr>
              <w:t xml:space="preserve">$109</w:t>
            </w:r>
          </w:p>
        </w:tc>
        <w:tc>
          <w:tcPr>
            <w:tcW w:type="dxa" w:w="26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Peak county revenue</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1993</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$28</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$30</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$58</w:t>
            </w:r>
          </w:p>
        </w:tc>
        <w:tc>
          <w:tcPr>
            <w:tcW w:type="dxa" w:w="26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Spotted Owl Safety Net begins</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1995</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$21</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$25</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$46</w:t>
            </w:r>
          </w:p>
        </w:tc>
        <w:tc>
          <w:tcPr>
            <w:tcW w:type="dxa" w:w="26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Post-NWFP collapse; 81% revenue drop from 1989</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$22</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$45</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$67</w:t>
            </w:r>
          </w:p>
        </w:tc>
        <w:tc>
          <w:tcPr>
            <w:tcW w:type="dxa" w:w="26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Secure Rural Schools Act (SRS) passes</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2006</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$35</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$116</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$151</w:t>
            </w:r>
          </w:p>
        </w:tc>
        <w:tc>
          <w:tcPr>
            <w:tcW w:type="dxa" w:w="26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SRS peak payments</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2010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$28</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$90</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$118</w:t>
            </w:r>
          </w:p>
        </w:tc>
        <w:tc>
          <w:tcPr>
            <w:tcW w:type="dxa" w:w="26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SRS declining; harvest slightly up</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2016</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$22</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$45</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$67</w:t>
            </w:r>
          </w:p>
        </w:tc>
        <w:tc>
          <w:tcPr>
            <w:tcW w:type="dxa" w:w="26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BLM 2016 RMPs restrict harvest further</w:t>
            </w:r>
          </w:p>
        </w:tc>
      </w:tr>
      <w:tr>
        <w:tc>
          <w:tcPr>
            <w:tcW w:type="dxa" w:w="9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$25</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$28</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$53</w:t>
            </w:r>
          </w:p>
        </w:tc>
        <w:tc>
          <w:tcPr>
            <w:tcW w:type="dxa" w:w="26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SRS reduced; modest timber uptick</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2026 (est.)</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$27</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$0–TBD</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~$27</w:t>
            </w:r>
          </w:p>
        </w:tc>
        <w:tc>
          <w:tcPr>
            <w:tcW w:type="dxa" w:w="26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BBB redirects future timber revenue to federal govt</w:t>
            </w:r>
          </w:p>
        </w:tc>
      </w:tr>
    </w:tbl>
    <w:p>
      <w:pPr>
        <w:spacing w:before="20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Four-Point Century Comparison: Key Economic Indicators</w:t>
      </w:r>
    </w:p>
    <w:p>
      <w:pPr>
        <w:spacing w:before="80" w:after="80"/>
        <w:jc w:val="left"/>
      </w:pPr>
      <w:r>
        <w:rPr>
          <w:rFonts w:ascii="Arial" w:cs="Arial" w:eastAsia="Arial" w:hAnsi="Arial"/>
          <w:b w:val="false"/>
          <w:bCs w:val="false"/>
          <w:i w:val="false"/>
          <w:iCs w:val="false"/>
          <w:color w:val="1C1A16"/>
          <w:sz w:val="22"/>
          <w:szCs w:val="22"/>
        </w:rPr>
        <w:t xml:space="preserve">Key indicators across 1937, 1976, 1994, and 2026 — the four most significant milestones in O&amp;C land management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500"/>
        <w:gridCol w:w="1500"/>
        <w:gridCol w:w="1500"/>
        <w:gridCol w:w="1160"/>
      </w:tblGrid>
      <w:tr>
        <w:trPr>
          <w:tblHeader/>
        </w:trPr>
        <w:tc>
          <w:tcPr>
            <w:tcW w:type="dxa" w:w="22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Indicator</w:t>
            </w:r>
          </w:p>
        </w:tc>
        <w:tc>
          <w:tcPr>
            <w:tcW w:type="dxa" w:w="15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1937</w:t>
            </w:r>
          </w:p>
        </w:tc>
        <w:tc>
          <w:tcPr>
            <w:tcW w:type="dxa" w:w="15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1976</w:t>
            </w:r>
          </w:p>
        </w:tc>
        <w:tc>
          <w:tcPr>
            <w:tcW w:type="dxa" w:w="15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1994</w:t>
            </w:r>
          </w:p>
        </w:tc>
        <w:tc>
          <w:tcPr>
            <w:tcW w:type="dxa" w:w="15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2026 (est.)</w:t>
            </w:r>
          </w:p>
        </w:tc>
        <w:tc>
          <w:tcPr>
            <w:tcW w:type="dxa" w:w="11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Trend / Implication</w:t>
            </w:r>
          </w:p>
        </w:tc>
      </w:tr>
      <w:tr>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Annual BLM Harvest (MMbf)</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200–400</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900–1,100</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~90 (ESA collapse)</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267</w:t>
            </w:r>
          </w:p>
        </w:tc>
        <w:tc>
          <w:tcPr>
            <w:tcW w:type="dxa" w:w="1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Still 75–85% below 1976 peak despite proposed plan</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Typical Sale Size</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Small-medium lots; selective</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40–200 acre clearcuts</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Halted under injunctions</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Proposed: 1,000s of acres (Pearce scale)</w:t>
            </w:r>
          </w:p>
        </w:tc>
        <w:tc>
          <w:tcPr>
            <w:tcW w:type="dxa" w:w="1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Massive proposed scale increase with disproportionate impacts</w:t>
            </w:r>
          </w:p>
        </w:tc>
      </w:tr>
      <w:tr>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Log Price at Mill (2024$)</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$80–120/MBF</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$350–500/MBF</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$400–600/MBF</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$700–1,100/MBF (high, volatile)</w:t>
            </w:r>
          </w:p>
        </w:tc>
        <w:tc>
          <w:tcPr>
            <w:tcW w:type="dxa" w:w="1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Higher prices = fewer logs needed to meet same revenue target</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Logger Daily Wage (2024$)</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~$1,200–1,600</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~$200–280/day</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~$18–24/hr declining</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~$22–32/hr; median $55K/yr</w:t>
            </w:r>
          </w:p>
        </w:tc>
        <w:tc>
          <w:tcPr>
            <w:tcW w:type="dxa" w:w="1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Real wages stagnated or declined since 1976 peak</w:t>
            </w:r>
          </w:p>
        </w:tc>
      </w:tr>
      <w:tr>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Workers per Timber Sale</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30–60 (manual)</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20–45 (chainsaws)</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10–25 (early mechanization)</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4–12 (feller-bunchers, automated)</w:t>
            </w:r>
          </w:p>
        </w:tc>
        <w:tc>
          <w:tcPr>
            <w:tcW w:type="dxa" w:w="1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Mechanization eliminated 70–80% of logging jobs</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Reforestation Labor</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Mostly local hires</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Mixed local/seasonal</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H-2B visa crews begin</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60–80% H-2B seasonal visa workers</w:t>
            </w:r>
          </w:p>
        </w:tc>
        <w:tc>
          <w:tcPr>
            <w:tcW w:type="dxa" w:w="1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Local job creation claim is false; immigrant labor targeted by deportation policy</w:t>
            </w:r>
          </w:p>
        </w:tc>
      </w:tr>
      <w:tr>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Automation Level</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 mechanized</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~30–40%</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~50–60%</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80–90% automated</w:t>
            </w:r>
          </w:p>
        </w:tc>
        <w:tc>
          <w:tcPr>
            <w:tcW w:type="dxa" w:w="1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More timber ≠ proportionally more local jobs</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Timber Exported (%)</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Negligible</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~10–15%</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~20–25%</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~30–40% (rising raw log exports)</w:t>
            </w:r>
          </w:p>
        </w:tc>
        <w:tc>
          <w:tcPr>
            <w:tcW w:type="dxa" w:w="1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Local mill processing jobs lost to raw log export</w:t>
            </w:r>
          </w:p>
        </w:tc>
      </w:tr>
      <w:tr>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O&amp;C County Revenue</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Program beginning</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~$60–80M (est.)</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$21M (from $109M in 1989)</w:t>
            </w:r>
          </w:p>
        </w:tc>
        <w:tc>
          <w:tcPr>
            <w:tcW w:type="dxa" w:w="15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$25–30M; BBB ends county windfall</w:t>
            </w:r>
          </w:p>
        </w:tc>
        <w:tc>
          <w:tcPr>
            <w:tcW w:type="dxa" w:w="1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Revenue justification legally undermined by BBB</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Recreation/Tourism Economy</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Minor</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Growing</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Significant</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40916C"/>
                <w:sz w:val="20"/>
                <w:szCs w:val="20"/>
              </w:rPr>
              <w:t xml:space="preserve">$800M+ annually (Oregon Coast)</w:t>
            </w:r>
          </w:p>
        </w:tc>
        <w:tc>
          <w:tcPr>
            <w:tcW w:type="dxa" w:w="1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Dwarfs realistic county timber payment increases</w:t>
            </w:r>
          </w:p>
        </w:tc>
      </w:tr>
    </w:tbl>
    <w:p>
      <w:r>
        <w:br w:type="page"/>
      </w:r>
    </w:p>
    <w:p>
      <w:pPr>
        <w:pStyle w:val="Heading1"/>
        <w:pBdr>
          <w:bottom w:val="single" w:color="40916C" w:sz="10" w:space="4"/>
        </w:pBdr>
        <w:spacing w:before="340" w:after="160"/>
        <w:jc w:val="left"/>
      </w:pPr>
      <w:r>
        <w:rPr>
          <w:rFonts w:ascii="Arial" w:cs="Arial" w:eastAsia="Arial" w:hAnsi="Arial"/>
          <w:b/>
          <w:bCs/>
          <w:i w:val="false"/>
          <w:iCs w:val="false"/>
          <w:color w:val="1A3D2B"/>
          <w:sz w:val="30"/>
          <w:szCs w:val="30"/>
        </w:rPr>
        <w:t xml:space="preserve">Section 2 — The Timber Jobs Reality</w:t>
      </w:r>
    </w:p>
    <w:p>
      <w:pPr>
        <w:spacing w:before="80" w:after="80"/>
        <w:jc w:val="left"/>
      </w:pPr>
      <w:r>
        <w:rPr>
          <w:rFonts w:ascii="Arial" w:cs="Arial" w:eastAsia="Arial" w:hAnsi="Arial"/>
          <w:b w:val="false"/>
          <w:bCs w:val="false"/>
          <w:i w:val="false"/>
          <w:iCs w:val="false"/>
          <w:color w:val="1C1A16"/>
          <w:sz w:val="22"/>
          <w:szCs w:val="22"/>
        </w:rPr>
        <w:t xml:space="preserve">Automation, exports, and migrant labor — what the industry does not tell rural communities about who benefits from expanded harvest.</w:t>
      </w:r>
    </w:p>
    <w:p>
      <w:pPr>
        <w:pBdr>
          <w:top w:val="single" w:color="C44B1A" w:sz="8"/>
          <w:left w:val="single" w:color="C44B1A" w:sz="18"/>
          <w:right w:val="single" w:color="C44B1A" w:sz="4"/>
        </w:pBdr>
        <w:shd w:fill="FFF0EE" w:val="clear"/>
        <w:spacing w:before="200" w:after="0"/>
        <w:ind w:left="180" w:right="180"/>
        <w:jc w:val="left"/>
      </w:pPr>
      <w:r>
        <w:rPr>
          <w:rFonts w:ascii="Arial" w:cs="Arial" w:eastAsia="Arial" w:hAnsi="Arial"/>
          <w:b/>
          <w:bCs/>
          <w:i w:val="false"/>
          <w:iCs w:val="false"/>
          <w:color w:val="7B0000"/>
          <w:sz w:val="23"/>
          <w:szCs w:val="23"/>
        </w:rPr>
        <w:t xml:space="preserve">Core Deception: More Logging Does NOT Equal More Local Jobs</w:t>
      </w:r>
    </w:p>
    <w:p>
      <w:pPr>
        <w:pBdr>
          <w:bottom w:val="single" w:color="C44B1A" w:sz="8"/>
          <w:left w:val="single" w:color="C44B1A" w:sz="18"/>
          <w:right w:val="single" w:color="C44B1A" w:sz="4"/>
        </w:pBdr>
        <w:shd w:fill="FFF0EE" w:val="clear"/>
        <w:spacing w:before="0" w:after="200"/>
        <w:ind w:left="180" w:right="180"/>
        <w:jc w:val="left"/>
      </w:pPr>
      <w:r>
        <w:rPr>
          <w:rFonts w:ascii="Arial" w:cs="Arial" w:eastAsia="Arial" w:hAnsi="Arial"/>
          <w:b w:val="false"/>
          <w:bCs w:val="false"/>
          <w:i w:val="false"/>
          <w:iCs w:val="false"/>
          <w:color w:val="1C1A16"/>
          <w:sz w:val="21"/>
          <w:szCs w:val="21"/>
        </w:rPr>
        <w:t xml:space="preserve">Industry claims that more logging = more local jobs. The 90-year data shows this is false. Automation eliminated 70–80% of logging jobs independent of harvest volume. The remaining reforestation and cleanup labor has largely shifted to H-2B seasonal visa workers — the same immigrant workforce currently targeted by federal deportation policy.</w:t>
      </w:r>
    </w:p>
    <w:p>
      <w:pPr>
        <w:spacing w:before="12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Oregon Timber Employment vs. Harvest Volume: The Automation Disconnect</w:t>
      </w:r>
    </w:p>
    <w:p>
      <w:pPr>
        <w:spacing w:before="80" w:after="80"/>
        <w:jc w:val="left"/>
      </w:pPr>
      <w:r>
        <w:rPr>
          <w:rFonts w:ascii="Arial" w:cs="Arial" w:eastAsia="Arial" w:hAnsi="Arial"/>
          <w:b w:val="false"/>
          <w:bCs w:val="false"/>
          <w:i w:val="false"/>
          <w:iCs w:val="false"/>
          <w:color w:val="1C1A16"/>
          <w:sz w:val="22"/>
          <w:szCs w:val="22"/>
        </w:rPr>
        <w:t xml:space="preserve">Employment fell from 72,000 workers in 1990 to under 30,000 by 2020 — while harvest volumes fluctuated due to multiple factors. The primary structural driver was mechanization, not environmental regulation.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2000"/>
        <w:gridCol w:w="2000"/>
        <w:gridCol w:w="2360"/>
      </w:tblGrid>
      <w:tr>
        <w:trPr>
          <w:tblHeader/>
        </w:trPr>
        <w:tc>
          <w:tcPr>
            <w:tcW w:type="dxa" w:w="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Year</w:t>
            </w:r>
          </w:p>
        </w:tc>
        <w:tc>
          <w:tcPr>
            <w:tcW w:type="dxa" w:w="22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OR Timber Employment (thousands)</w:t>
            </w:r>
          </w:p>
        </w:tc>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BLM/USFS Harvest (MMbf)</w:t>
            </w:r>
          </w:p>
        </w:tc>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Workers per MMbf Harvested</w:t>
            </w:r>
          </w:p>
        </w:tc>
        <w:tc>
          <w:tcPr>
            <w:tcW w:type="dxa" w:w="23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Primary Job Loss Driver</w:t>
            </w:r>
          </w:p>
        </w:tc>
      </w:tr>
      <w:tr>
        <w:tc>
          <w:tcPr>
            <w:tcW w:type="dxa" w:w="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1950</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28</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300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93</w:t>
            </w:r>
          </w:p>
        </w:tc>
        <w:tc>
          <w:tcPr>
            <w:tcW w:type="dxa" w:w="2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Growth era; manual labor intensive</w:t>
            </w:r>
          </w:p>
        </w:tc>
      </w:tr>
      <w:tr>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1960</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42</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550</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76</w:t>
            </w:r>
          </w:p>
        </w:tc>
        <w:tc>
          <w:tcPr>
            <w:tcW w:type="dxa" w:w="2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Chainsaw adoption begins</w:t>
            </w:r>
          </w:p>
        </w:tc>
      </w:tr>
      <w:tr>
        <w:tc>
          <w:tcPr>
            <w:tcW w:type="dxa" w:w="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1970</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58</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900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64</w:t>
            </w:r>
          </w:p>
        </w:tc>
        <w:tc>
          <w:tcPr>
            <w:tcW w:type="dxa" w:w="2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Cable yarder mechanization</w:t>
            </w:r>
          </w:p>
        </w:tc>
      </w:tr>
      <w:tr>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1980</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68</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1,100</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62</w:t>
            </w:r>
          </w:p>
        </w:tc>
        <w:tc>
          <w:tcPr>
            <w:tcW w:type="dxa" w:w="2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Peak employment and harvest</w:t>
            </w:r>
          </w:p>
        </w:tc>
      </w:tr>
      <w:tr>
        <w:tc>
          <w:tcPr>
            <w:tcW w:type="dxa" w:w="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1990</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72</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900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80</w:t>
            </w:r>
          </w:p>
        </w:tc>
        <w:tc>
          <w:tcPr>
            <w:tcW w:type="dxa" w:w="2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ESA listings — but employment still highest here</w:t>
            </w:r>
          </w:p>
        </w:tc>
      </w:tr>
      <w:tr>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1995</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48</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240</w:t>
            </w:r>
          </w:p>
        </w:tc>
        <w:tc>
          <w:tcPr>
            <w:tcW w:type="dxa" w:w="2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Post-NWFP harvest reduction; layoffs begin</w:t>
            </w:r>
          </w:p>
        </w:tc>
      </w:tr>
      <w:tr>
        <w:tc>
          <w:tcPr>
            <w:tcW w:type="dxa" w:w="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2000</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38</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120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317</w:t>
            </w:r>
          </w:p>
        </w:tc>
        <w:tc>
          <w:tcPr>
            <w:tcW w:type="dxa" w:w="2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Feller-bunchers replace fallers; automation accelerates</w:t>
            </w:r>
          </w:p>
        </w:tc>
      </w:tr>
      <w:tr>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2010</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26</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130</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w:t>
            </w:r>
          </w:p>
        </w:tc>
        <w:tc>
          <w:tcPr>
            <w:tcW w:type="dxa" w:w="2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Grapple yarders, automated mills eliminate remaining jobs</w:t>
            </w:r>
          </w:p>
        </w:tc>
      </w:tr>
      <w:tr>
        <w:tc>
          <w:tcPr>
            <w:tcW w:type="dxa" w:w="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2015</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24</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160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150</w:t>
            </w:r>
          </w:p>
        </w:tc>
        <w:tc>
          <w:tcPr>
            <w:tcW w:type="dxa" w:w="2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Employment floor reached</w:t>
            </w:r>
          </w:p>
        </w:tc>
      </w:tr>
      <w:tr>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2020</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28</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210</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133</w:t>
            </w:r>
          </w:p>
        </w:tc>
        <w:tc>
          <w:tcPr>
            <w:tcW w:type="dxa" w:w="2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Harvest up 60% from 2010; employment up only 8%</w:t>
            </w:r>
          </w:p>
        </w:tc>
      </w:tr>
      <w:tr>
        <w:tc>
          <w:tcPr>
            <w:tcW w:type="dxa" w:w="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2025</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29</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267</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109</w:t>
            </w:r>
          </w:p>
        </w:tc>
        <w:tc>
          <w:tcPr>
            <w:tcW w:type="dxa" w:w="2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Harvest up 127% from 2010; employment up only 12%. Automation gap is decisive.</w:t>
            </w:r>
          </w:p>
        </w:tc>
      </w:tr>
    </w:tbl>
    <w:p>
      <w:pPr>
        <w:spacing w:before="16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Workers Required per Million Board Feet Harvested: Automation Decade by Decade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40916C"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1940s (hand saws, mules)</w:t>
            </w:r>
          </w:p>
          <w:p>
            <w:pPr>
              <w:spacing w:before="0" w:after="40"/>
              <w:jc w:val="left"/>
            </w:pPr>
            <w:r>
              <w:rPr>
                <w:rFonts w:ascii="Arial" w:cs="Arial" w:eastAsia="Arial" w:hAnsi="Arial"/>
                <w:b/>
                <w:bCs/>
                <w:i w:val="false"/>
                <w:iCs w:val="false"/>
                <w:color w:val="1A3D2B"/>
                <w:sz w:val="32"/>
                <w:szCs w:val="32"/>
              </w:rPr>
              <w:t xml:space="preserve">85</w:t>
            </w:r>
          </w:p>
          <w:p>
            <w:pPr>
              <w:spacing w:before="0" w:after="0"/>
              <w:jc w:val="left"/>
            </w:pPr>
            <w:r>
              <w:rPr>
                <w:rFonts w:ascii="Arial" w:cs="Arial" w:eastAsia="Arial" w:hAnsi="Arial"/>
                <w:b w:val="false"/>
                <w:bCs w:val="false"/>
                <w:i/>
                <w:iCs/>
                <w:color w:val="666666"/>
                <w:sz w:val="18"/>
                <w:szCs w:val="18"/>
              </w:rPr>
              <w:t xml:space="preserve">workers per MMbf</w:t>
            </w:r>
          </w:p>
        </w:tc>
        <w:tc>
          <w:tcPr>
            <w:tcW w:type="dxa" w:w="1872"/>
            <w:tcBorders>
              <w:top w:val="single" w:color="40916C"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1960s (chainsaw era)</w:t>
            </w:r>
          </w:p>
          <w:p>
            <w:pPr>
              <w:spacing w:before="0" w:after="40"/>
              <w:jc w:val="left"/>
            </w:pPr>
            <w:r>
              <w:rPr>
                <w:rFonts w:ascii="Arial" w:cs="Arial" w:eastAsia="Arial" w:hAnsi="Arial"/>
                <w:b/>
                <w:bCs/>
                <w:i w:val="false"/>
                <w:iCs w:val="false"/>
                <w:color w:val="1A3D2B"/>
                <w:sz w:val="32"/>
                <w:szCs w:val="32"/>
              </w:rPr>
              <w:t xml:space="preserve">62</w:t>
            </w:r>
          </w:p>
          <w:p>
            <w:pPr>
              <w:spacing w:before="0" w:after="0"/>
              <w:jc w:val="left"/>
            </w:pPr>
            <w:r>
              <w:rPr>
                <w:rFonts w:ascii="Arial" w:cs="Arial" w:eastAsia="Arial" w:hAnsi="Arial"/>
                <w:b w:val="false"/>
                <w:bCs w:val="false"/>
                <w:i/>
                <w:iCs/>
                <w:color w:val="666666"/>
                <w:sz w:val="18"/>
                <w:szCs w:val="18"/>
              </w:rPr>
              <w:t xml:space="preserve">workers per MMbf</w:t>
            </w:r>
          </w:p>
        </w:tc>
        <w:tc>
          <w:tcPr>
            <w:tcW w:type="dxa" w:w="1872"/>
            <w:tcBorders>
              <w:top w:val="single" w:color="C89B3C"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1980s (cable yarders)</w:t>
            </w:r>
          </w:p>
          <w:p>
            <w:pPr>
              <w:spacing w:before="0" w:after="40"/>
              <w:jc w:val="left"/>
            </w:pPr>
            <w:r>
              <w:rPr>
                <w:rFonts w:ascii="Arial" w:cs="Arial" w:eastAsia="Arial" w:hAnsi="Arial"/>
                <w:b/>
                <w:bCs/>
                <w:i w:val="false"/>
                <w:iCs w:val="false"/>
                <w:color w:val="1A3D2B"/>
                <w:sz w:val="32"/>
                <w:szCs w:val="32"/>
              </w:rPr>
              <w:t xml:space="preserve">35</w:t>
            </w:r>
          </w:p>
          <w:p>
            <w:pPr>
              <w:spacing w:before="0" w:after="0"/>
              <w:jc w:val="left"/>
            </w:pPr>
            <w:r>
              <w:rPr>
                <w:rFonts w:ascii="Arial" w:cs="Arial" w:eastAsia="Arial" w:hAnsi="Arial"/>
                <w:b w:val="false"/>
                <w:bCs w:val="false"/>
                <w:i/>
                <w:iCs/>
                <w:color w:val="666666"/>
                <w:sz w:val="18"/>
                <w:szCs w:val="18"/>
              </w:rPr>
              <w:t xml:space="preserve">workers per MMbf</w:t>
            </w:r>
          </w:p>
        </w:tc>
        <w:tc>
          <w:tcPr>
            <w:tcW w:type="dxa" w:w="1872"/>
            <w:tcBorders>
              <w:top w:val="single" w:color="C44B1A"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2000s (feller-bunchers)</w:t>
            </w:r>
          </w:p>
          <w:p>
            <w:pPr>
              <w:spacing w:before="0" w:after="40"/>
              <w:jc w:val="left"/>
            </w:pPr>
            <w:r>
              <w:rPr>
                <w:rFonts w:ascii="Arial" w:cs="Arial" w:eastAsia="Arial" w:hAnsi="Arial"/>
                <w:b/>
                <w:bCs/>
                <w:i w:val="false"/>
                <w:iCs w:val="false"/>
                <w:color w:val="1A3D2B"/>
                <w:sz w:val="32"/>
                <w:szCs w:val="32"/>
              </w:rPr>
              <w:t xml:space="preserve">18</w:t>
            </w:r>
          </w:p>
          <w:p>
            <w:pPr>
              <w:spacing w:before="0" w:after="0"/>
              <w:jc w:val="left"/>
            </w:pPr>
            <w:r>
              <w:rPr>
                <w:rFonts w:ascii="Arial" w:cs="Arial" w:eastAsia="Arial" w:hAnsi="Arial"/>
                <w:b w:val="false"/>
                <w:bCs w:val="false"/>
                <w:i/>
                <w:iCs/>
                <w:color w:val="666666"/>
                <w:sz w:val="18"/>
                <w:szCs w:val="18"/>
              </w:rPr>
              <w:t xml:space="preserve">workers per MMbf</w:t>
            </w:r>
          </w:p>
        </w:tc>
        <w:tc>
          <w:tcPr>
            <w:tcW w:type="dxa" w:w="1872"/>
            <w:tcBorders>
              <w:top w:val="single" w:color="C44B1A" w:sz="14"/>
              <w:left w:val="single" w:color="CCCCCC" w:sz="4"/>
              <w:bottom w:val="single" w:color="CCCCCC" w:sz="4"/>
              <w:right w:val="single" w:color="CCCCCC" w:sz="4"/>
            </w:tcBorders>
            <w:shd w:fill="FAFAFA" w:val="clear"/>
            <w:tcMar>
              <w:top w:type="dxa" w:w="120"/>
              <w:left w:type="dxa" w:w="160"/>
              <w:bottom w:type="dxa" w:w="120"/>
              <w:right w:type="dxa" w:w="160"/>
            </w:tcMar>
          </w:tcPr>
          <w:p>
            <w:pPr>
              <w:spacing w:before="0" w:after="60"/>
              <w:jc w:val="left"/>
            </w:pPr>
            <w:r>
              <w:rPr>
                <w:rFonts w:ascii="Arial" w:cs="Arial" w:eastAsia="Arial" w:hAnsi="Arial"/>
                <w:b w:val="false"/>
                <w:bCs w:val="false"/>
                <w:i w:val="false"/>
                <w:iCs w:val="false"/>
                <w:color w:val="666666"/>
                <w:sz w:val="17"/>
                <w:szCs w:val="17"/>
              </w:rPr>
              <w:t xml:space="preserve">2020s (fully automated)</w:t>
            </w:r>
          </w:p>
          <w:p>
            <w:pPr>
              <w:spacing w:before="0" w:after="40"/>
              <w:jc w:val="left"/>
            </w:pPr>
            <w:r>
              <w:rPr>
                <w:rFonts w:ascii="Arial" w:cs="Arial" w:eastAsia="Arial" w:hAnsi="Arial"/>
                <w:b/>
                <w:bCs/>
                <w:i w:val="false"/>
                <w:iCs w:val="false"/>
                <w:color w:val="1A3D2B"/>
                <w:sz w:val="32"/>
                <w:szCs w:val="32"/>
              </w:rPr>
              <w:t xml:space="preserve">9</w:t>
            </w:r>
          </w:p>
          <w:p>
            <w:pPr>
              <w:spacing w:before="0" w:after="0"/>
              <w:jc w:val="left"/>
            </w:pPr>
            <w:r>
              <w:rPr>
                <w:rFonts w:ascii="Arial" w:cs="Arial" w:eastAsia="Arial" w:hAnsi="Arial"/>
                <w:b w:val="false"/>
                <w:bCs w:val="false"/>
                <w:i/>
                <w:iCs/>
                <w:color w:val="666666"/>
                <w:sz w:val="18"/>
                <w:szCs w:val="18"/>
              </w:rPr>
              <w:t xml:space="preserve">workers per MMbf</w:t>
            </w:r>
          </w:p>
        </w:tc>
      </w:tr>
    </w:tbl>
    <w:p>
      <w:pPr>
        <w:spacing w:before="160" w:after="0"/>
        <w:jc w:val="left"/>
      </w:pPr>
      <w:r>
        <w:rPr>
          <w:rFonts w:ascii="Arial" w:cs="Arial" w:eastAsia="Arial" w:hAnsi="Arial"/>
          <w:b w:val="false"/>
          <w:bCs w:val="false"/>
          <w:i w:val="false"/>
          <w:iCs w:val="false"/>
          <w:color w:val="1C1A16"/>
          <w:sz w:val="22"/>
          <w:szCs w:val="22"/>
        </w:rPr>
        <w:t xml:space="preserve"/>
      </w:r>
    </w:p>
    <w:p>
      <w:pPr>
        <w:pBdr>
          <w:top w:val="single" w:color="C89B3C" w:sz="8"/>
          <w:left w:val="single" w:color="C89B3C" w:sz="18"/>
          <w:right w:val="single" w:color="C89B3C" w:sz="4"/>
        </w:pBdr>
        <w:shd w:fill="FDF8ED" w:val="clear"/>
        <w:spacing w:before="200" w:after="0"/>
        <w:ind w:left="180" w:right="180"/>
        <w:jc w:val="left"/>
      </w:pPr>
      <w:r>
        <w:rPr>
          <w:rFonts w:ascii="Arial" w:cs="Arial" w:eastAsia="Arial" w:hAnsi="Arial"/>
          <w:b/>
          <w:bCs/>
          <w:i w:val="false"/>
          <w:iCs w:val="false"/>
          <w:color w:val="1A3D2B"/>
          <w:sz w:val="23"/>
          <w:szCs w:val="23"/>
        </w:rPr>
        <w:t xml:space="preserve">Key Finding: A 10x increase in automation efficiency since the 1940s</w:t>
      </w:r>
    </w:p>
    <w:p>
      <w:pPr>
        <w:pBdr>
          <w:bottom w:val="single" w:color="C89B3C" w:sz="8"/>
          <w:left w:val="single" w:color="C89B3C" w:sz="18"/>
          <w:right w:val="single" w:color="C89B3C" w:sz="4"/>
        </w:pBdr>
        <w:shd w:fill="FDF8ED" w:val="clear"/>
        <w:spacing w:before="0" w:after="200"/>
        <w:ind w:left="180" w:right="180"/>
        <w:jc w:val="left"/>
      </w:pPr>
      <w:r>
        <w:rPr>
          <w:rFonts w:ascii="Arial" w:cs="Arial" w:eastAsia="Arial" w:hAnsi="Arial"/>
          <w:b w:val="false"/>
          <w:bCs w:val="false"/>
          <w:i w:val="false"/>
          <w:iCs w:val="false"/>
          <w:color w:val="1C1A16"/>
          <w:sz w:val="21"/>
          <w:szCs w:val="21"/>
        </w:rPr>
        <w:t xml:space="preserve">Harvesting the same volume of timber in 2025 requires only 1/9th the workers of the 1940s. Doubling harvest volume will approximately double automated machine-hours — not double employment. The industry's jobs argument depends on the public not understanding this shift.</w:t>
      </w:r>
    </w:p>
    <w:p>
      <w:pPr>
        <w:spacing w:before="16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Job Type Transformation: Local Labor to H-2B Visa to Automated (1970–2026)</w:t>
      </w:r>
    </w:p>
    <w:p>
      <w:pPr>
        <w:spacing w:before="80" w:after="80"/>
        <w:jc w:val="left"/>
      </w:pPr>
      <w:r>
        <w:rPr>
          <w:rFonts w:ascii="Arial" w:cs="Arial" w:eastAsia="Arial" w:hAnsi="Arial"/>
          <w:b w:val="false"/>
          <w:bCs w:val="false"/>
          <w:i w:val="false"/>
          <w:iCs w:val="false"/>
          <w:color w:val="1C1A16"/>
          <w:sz w:val="22"/>
          <w:szCs w:val="22"/>
        </w:rPr>
        <w:t xml:space="preserve">Who actually does each type of timber work today — and what the immigration enforcement environment means for proposed harvest expansion.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800"/>
        <w:gridCol w:w="1960"/>
      </w:tblGrid>
      <w:tr>
        <w:trPr>
          <w:tblHeader/>
        </w:trPr>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Job Type</w:t>
            </w:r>
          </w:p>
        </w:tc>
        <w:tc>
          <w:tcPr>
            <w:tcW w:type="dxa" w:w="1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1950s–1960s</w:t>
            </w:r>
          </w:p>
        </w:tc>
        <w:tc>
          <w:tcPr>
            <w:tcW w:type="dxa" w:w="1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1980s</w:t>
            </w:r>
          </w:p>
        </w:tc>
        <w:tc>
          <w:tcPr>
            <w:tcW w:type="dxa" w:w="1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2000s</w:t>
            </w:r>
          </w:p>
        </w:tc>
        <w:tc>
          <w:tcPr>
            <w:tcW w:type="dxa" w:w="19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2026 — Current Reality</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Falling/Bucking (cutting trees)</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2–4 men per acre; hand saws and early chainsaws</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1–2 fallers per acre</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Feller-bunchers begin replacement</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1 machine operator replaces 8–12 former workers</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Skidding / Yarding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Mule teams and large manual crews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Cable yarders with choker setters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Grapple yarders reduce crew significantly</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Near fully automated; minimal human operation</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Log Hauling</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Local truck drivers</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Local contractors</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Still mostly local</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Local + some GPS-guided automation</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Mill Processing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100–300 workers per mill</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50–150 workers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20–60 workers</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10–30 workers per mill; CNC/laser automated</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Tree Planting</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Local and seasonal labor</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Beginning H-2B transition</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Majority H-2B visa crews</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60–80% H-2B visa workers (at risk from deportation policy)</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Brush Control</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Manual crews; local hire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Herbicide + some manual</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Aerial herbicide spray begins</w:t>
            </w:r>
          </w:p>
        </w:tc>
        <w:tc>
          <w:tcPr>
            <w:tcW w:type="dxa" w:w="1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Aerial spray: 1 pilot replaces dozens of manual workers</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Slash Cleanup</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Largely manual burn crews; local</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Mechanical + pile burning</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Mixed mechanical/manual</w:t>
            </w:r>
          </w:p>
        </w:tc>
        <w:tc>
          <w:tcPr>
            <w:tcW w:type="dxa" w:w="1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Mechanical + pile burning; minimal local employment</w:t>
            </w:r>
          </w:p>
        </w:tc>
      </w:tr>
    </w:tbl>
    <w:p>
      <w:pPr>
        <w:spacing w:before="160" w:after="0"/>
        <w:jc w:val="left"/>
      </w:pPr>
      <w:r>
        <w:rPr>
          <w:rFonts w:ascii="Arial" w:cs="Arial" w:eastAsia="Arial" w:hAnsi="Arial"/>
          <w:b w:val="false"/>
          <w:bCs w:val="false"/>
          <w:i w:val="false"/>
          <w:iCs w:val="false"/>
          <w:color w:val="1C1A16"/>
          <w:sz w:val="22"/>
          <w:szCs w:val="22"/>
        </w:rPr>
        <w:t xml:space="preserve"/>
      </w:r>
    </w:p>
    <w:p>
      <w:pPr>
        <w:pBdr>
          <w:top w:val="single" w:color="C89B3C" w:sz="8"/>
          <w:left w:val="single" w:color="C89B3C" w:sz="18"/>
          <w:right w:val="single" w:color="C89B3C" w:sz="4"/>
        </w:pBdr>
        <w:shd w:fill="FDF8ED" w:val="clear"/>
        <w:spacing w:before="200" w:after="0"/>
        <w:ind w:left="180" w:right="180"/>
        <w:jc w:val="left"/>
      </w:pPr>
      <w:r>
        <w:rPr>
          <w:rFonts w:ascii="Arial" w:cs="Arial" w:eastAsia="Arial" w:hAnsi="Arial"/>
          <w:b/>
          <w:bCs/>
          <w:i w:val="false"/>
          <w:iCs w:val="false"/>
          <w:color w:val="1A3D2B"/>
          <w:sz w:val="23"/>
          <w:szCs w:val="23"/>
        </w:rPr>
        <w:t xml:space="preserve">Who Plants the Trees? The H-2B Labor Question</w:t>
      </w:r>
    </w:p>
    <w:p>
      <w:pPr>
        <w:pBdr>
          <w:bottom w:val="single" w:color="C89B3C" w:sz="8"/>
          <w:left w:val="single" w:color="C89B3C" w:sz="18"/>
          <w:right w:val="single" w:color="C89B3C" w:sz="4"/>
        </w:pBdr>
        <w:shd w:fill="FDF8ED" w:val="clear"/>
        <w:spacing w:before="0" w:after="200"/>
        <w:ind w:left="180" w:right="180"/>
        <w:jc w:val="left"/>
      </w:pPr>
      <w:r>
        <w:rPr>
          <w:rFonts w:ascii="Arial" w:cs="Arial" w:eastAsia="Arial" w:hAnsi="Arial"/>
          <w:b w:val="false"/>
          <w:bCs w:val="false"/>
          <w:i w:val="false"/>
          <w:iCs w:val="false"/>
          <w:color w:val="1C1A16"/>
          <w:sz w:val="21"/>
          <w:szCs w:val="21"/>
        </w:rPr>
        <w:t xml:space="preserve">By the late 1990s, the majority of reforestation, brush control, and site preparation work on Oregon timber lands had transitioned to H-2B seasonal visa crews, primarily from Mexico and Central America. Industry groups estimate 60–80% of this work is now H-2B labor. Under current federal immigration enforcement priorities, this workforce faces severe disruption. The EIS (Environmental Impact Statement) must answer: who would actually perform expanded reforestation labor, at what wage, with what local benefit?</w:t>
      </w:r>
    </w:p>
    <w:p>
      <w:r>
        <w:br w:type="page"/>
      </w:r>
    </w:p>
    <w:p>
      <w:pPr>
        <w:pStyle w:val="Heading1"/>
        <w:pBdr>
          <w:bottom w:val="single" w:color="40916C" w:sz="10" w:space="4"/>
        </w:pBdr>
        <w:spacing w:before="340" w:after="160"/>
        <w:jc w:val="left"/>
      </w:pPr>
      <w:r>
        <w:rPr>
          <w:rFonts w:ascii="Arial" w:cs="Arial" w:eastAsia="Arial" w:hAnsi="Arial"/>
          <w:b/>
          <w:bCs/>
          <w:i w:val="false"/>
          <w:iCs w:val="false"/>
          <w:color w:val="1A3D2B"/>
          <w:sz w:val="30"/>
          <w:szCs w:val="30"/>
        </w:rPr>
        <w:t xml:space="preserve">Section 3 — Wildfire: Myths vs. Peer-Reviewed Science</w:t>
      </w:r>
    </w:p>
    <w:p>
      <w:pPr>
        <w:spacing w:before="80" w:after="80"/>
        <w:jc w:val="left"/>
      </w:pPr>
      <w:r>
        <w:rPr>
          <w:rFonts w:ascii="Arial" w:cs="Arial" w:eastAsia="Arial" w:hAnsi="Arial"/>
          <w:b w:val="false"/>
          <w:bCs w:val="false"/>
          <w:i w:val="false"/>
          <w:iCs w:val="false"/>
          <w:color w:val="1C1A16"/>
          <w:sz w:val="22"/>
          <w:szCs w:val="22"/>
        </w:rPr>
        <w:t xml:space="preserve">Industry-funded narratives versus published research from Dr. Chad Hanson, Dr. Dominick DellaSalla, Chuck Willer (Coast Range Association), and others. Western Oregon moist forests are among the most fire-resistant ecosystems on Earth.</w:t>
      </w:r>
    </w:p>
    <w:p>
      <w:pPr>
        <w:pBdr>
          <w:top w:val="single" w:color="C44B1A" w:sz="8"/>
          <w:left w:val="single" w:color="C44B1A" w:sz="18"/>
          <w:right w:val="single" w:color="C44B1A" w:sz="4"/>
        </w:pBdr>
        <w:shd w:fill="FFF0EE" w:val="clear"/>
        <w:spacing w:before="200" w:after="0"/>
        <w:ind w:left="180" w:right="180"/>
        <w:jc w:val="left"/>
      </w:pPr>
      <w:r>
        <w:rPr>
          <w:rFonts w:ascii="Arial" w:cs="Arial" w:eastAsia="Arial" w:hAnsi="Arial"/>
          <w:b/>
          <w:bCs/>
          <w:i w:val="false"/>
          <w:iCs w:val="false"/>
          <w:color w:val="7B0000"/>
          <w:sz w:val="23"/>
          <w:szCs w:val="23"/>
        </w:rPr>
        <w:t xml:space="preserve">Industry Conflict of Interest: Oregon Forest Resources Institute (OFRI)</w:t>
      </w:r>
    </w:p>
    <w:p>
      <w:pPr>
        <w:pBdr>
          <w:bottom w:val="single" w:color="C44B1A" w:sz="8"/>
          <w:left w:val="single" w:color="C44B1A" w:sz="18"/>
          <w:right w:val="single" w:color="C44B1A" w:sz="4"/>
        </w:pBdr>
        <w:shd w:fill="FFF0EE" w:val="clear"/>
        <w:spacing w:before="0" w:after="200"/>
        <w:ind w:left="180" w:right="180"/>
        <w:jc w:val="left"/>
      </w:pPr>
      <w:r>
        <w:rPr>
          <w:rFonts w:ascii="Arial" w:cs="Arial" w:eastAsia="Arial" w:hAnsi="Arial"/>
          <w:b w:val="false"/>
          <w:bCs w:val="false"/>
          <w:i w:val="false"/>
          <w:iCs w:val="false"/>
          <w:color w:val="1C1A16"/>
          <w:sz w:val="21"/>
          <w:szCs w:val="21"/>
        </w:rPr>
        <w:t xml:space="preserve">OFRI is the primary source of 'forest education' cited by the Association of O&amp;C Counties (AOCC). It is founded and funded by the timber industry. All but one board seat is held by timber industry representatives — and that single non-industry seat is explicitly barred from being held by anyone affiliated with a conservation organization.</w:t>
      </w:r>
    </w:p>
    <w:p>
      <w:pPr>
        <w:spacing w:before="16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Wildfire Myths vs. Peer-Reviewed Scientific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rPr>
          <w:tblHeader/>
        </w:trPr>
        <w:tc>
          <w:tcPr>
            <w:tcW w:type="dxa" w:w="4560"/>
            <w:tcBorders>
              <w:top w:val="single" w:color="CCCCCC" w:sz="4"/>
              <w:left w:val="single" w:color="CCCCCC" w:sz="4"/>
              <w:bottom w:val="single" w:color="CCCCCC" w:sz="4"/>
              <w:right w:val="single" w:color="CCCCCC" w:sz="4"/>
            </w:tcBorders>
            <w:shd w:fill="8B2500" w:val="clear"/>
            <w:tcMar>
              <w:top w:type="dxa" w:w="80"/>
              <w:left w:type="dxa" w:w="140"/>
              <w:bottom w:type="dxa" w:w="80"/>
              <w:right w:type="dxa" w:w="140"/>
            </w:tcMar>
          </w:tcPr>
          <w:p>
            <w:pPr>
              <w:spacing w:before="40" w:after="40"/>
              <w:jc w:val="left"/>
            </w:pPr>
            <w:r>
              <w:rPr>
                <w:rFonts w:ascii="Arial" w:cs="Arial" w:eastAsia="Arial" w:hAnsi="Arial"/>
                <w:b/>
                <w:bCs/>
                <w:i w:val="false"/>
                <w:iCs w:val="false"/>
                <w:color w:val="FFFFFF"/>
                <w:sz w:val="20"/>
                <w:szCs w:val="20"/>
              </w:rPr>
              <w:t xml:space="preserve">TIMBER INDUSTRY / OFRI CLAIM</w:t>
            </w:r>
          </w:p>
        </w:tc>
        <w:tc>
          <w:tcPr>
            <w:tcW w:type="dxa" w:w="4800"/>
            <w:tcBorders>
              <w:top w:val="single" w:color="CCCCCC" w:sz="4"/>
              <w:left w:val="single" w:color="CCCCCC" w:sz="4"/>
              <w:bottom w:val="single" w:color="CCCCCC" w:sz="4"/>
              <w:right w:val="single" w:color="CCCCCC" w:sz="4"/>
            </w:tcBorders>
            <w:shd w:fill="1A3D2B" w:val="clear"/>
            <w:tcMar>
              <w:top w:type="dxa" w:w="80"/>
              <w:left w:type="dxa" w:w="140"/>
              <w:bottom w:type="dxa" w:w="80"/>
              <w:right w:type="dxa" w:w="140"/>
            </w:tcMar>
          </w:tcPr>
          <w:p>
            <w:pPr>
              <w:spacing w:before="40" w:after="40"/>
              <w:jc w:val="left"/>
            </w:pPr>
            <w:r>
              <w:rPr>
                <w:rFonts w:ascii="Arial" w:cs="Arial" w:eastAsia="Arial" w:hAnsi="Arial"/>
                <w:b/>
                <w:bCs/>
                <w:i w:val="false"/>
                <w:iCs w:val="false"/>
                <w:color w:val="FFFFFF"/>
                <w:sz w:val="20"/>
                <w:szCs w:val="20"/>
              </w:rPr>
              <w:t xml:space="preserve">PEER-REVIEWED SCIENTIFIC FINDING</w:t>
            </w:r>
          </w:p>
        </w:tc>
      </w:tr>
      <w:tr>
        <w:tc>
          <w:tcPr>
            <w:tcW w:type="dxa" w:w="4560"/>
            <w:tcBorders>
              <w:top w:val="single" w:color="CCCCCC" w:sz="4"/>
              <w:left w:val="single" w:color="CCCCCC" w:sz="4"/>
              <w:bottom w:val="single" w:color="CCCCCC" w:sz="4"/>
              <w:right w:val="single" w:color="CCCCCC" w:sz="4"/>
            </w:tcBorders>
            <w:shd w:fill="FFF5F0" w:val="clear"/>
            <w:tcMar>
              <w:top w:type="dxa" w:w="80"/>
              <w:left w:type="dxa" w:w="140"/>
              <w:bottom w:type="dxa" w:w="80"/>
              <w:right w:type="dxa" w:w="140"/>
            </w:tcMar>
          </w:tcPr>
          <w:p>
            <w:pPr>
              <w:spacing w:before="0" w:after="40"/>
              <w:jc w:val="left"/>
            </w:pPr>
            <w:r>
              <w:rPr>
                <w:rFonts w:ascii="Arial" w:cs="Arial" w:eastAsia="Arial" w:hAnsi="Arial"/>
                <w:b/>
                <w:bCs/>
                <w:i w:val="false"/>
                <w:iCs w:val="false"/>
                <w:color w:val="C44B1A"/>
                <w:sz w:val="17"/>
                <w:szCs w:val="17"/>
              </w:rPr>
              <w:t xml:space="preserve">MYTH</w:t>
            </w:r>
          </w:p>
          <w:p>
            <w:pPr>
              <w:spacing w:before="0" w:after="40"/>
              <w:jc w:val="left"/>
            </w:pPr>
            <w:r>
              <w:rPr>
                <w:rFonts w:ascii="Arial" w:cs="Arial" w:eastAsia="Arial" w:hAnsi="Arial"/>
                <w:b w:val="false"/>
                <w:bCs w:val="false"/>
                <w:i/>
                <w:iCs/>
                <w:color w:val="5A1A00"/>
                <w:sz w:val="20"/>
                <w:szCs w:val="20"/>
              </w:rPr>
              <w:t xml:space="preserve">"Logging prevents wildfires and makes forests safer."</w:t>
            </w:r>
          </w:p>
        </w:tc>
        <w:tc>
          <w:tcPr>
            <w:tcW w:type="dxa" w:w="4800"/>
            <w:tcBorders>
              <w:top w:val="single" w:color="CCCCCC" w:sz="4"/>
              <w:left w:val="single" w:color="CCCCCC" w:sz="4"/>
              <w:bottom w:val="single" w:color="CCCCCC" w:sz="4"/>
              <w:right w:val="single" w:color="CCCCCC" w:sz="4"/>
            </w:tcBorders>
            <w:shd w:fill="EEF7F3" w:val="clear"/>
            <w:tcMar>
              <w:top w:type="dxa" w:w="80"/>
              <w:left w:type="dxa" w:w="140"/>
              <w:bottom w:type="dxa" w:w="80"/>
              <w:right w:type="dxa" w:w="140"/>
            </w:tcMar>
          </w:tcPr>
          <w:p>
            <w:pPr>
              <w:spacing w:before="0" w:after="40"/>
              <w:jc w:val="left"/>
            </w:pPr>
            <w:r>
              <w:rPr>
                <w:rFonts w:ascii="Arial" w:cs="Arial" w:eastAsia="Arial" w:hAnsi="Arial"/>
                <w:b/>
                <w:bCs/>
                <w:i w:val="false"/>
                <w:iCs w:val="false"/>
                <w:color w:val="40916C"/>
                <w:sz w:val="17"/>
                <w:szCs w:val="17"/>
              </w:rPr>
              <w:t xml:space="preserve">SCIENCE</w:t>
            </w:r>
          </w:p>
          <w:p>
            <w:pPr>
              <w:spacing w:before="0" w:after="40"/>
              <w:jc w:val="left"/>
            </w:pPr>
            <w:r>
              <w:rPr>
                <w:rFonts w:ascii="Arial" w:cs="Arial" w:eastAsia="Arial" w:hAnsi="Arial"/>
                <w:b w:val="false"/>
                <w:bCs w:val="false"/>
                <w:i w:val="false"/>
                <w:iCs w:val="false"/>
                <w:color w:val="1C1A16"/>
                <w:sz w:val="20"/>
                <w:szCs w:val="20"/>
              </w:rPr>
              <w:t xml:space="preserve">Post-harvest slash, dry debris, and loss of large fire-resistant trees INCREASES ignition risk and fire spread. Studies by Hanson (2021) and Rhodes &amp; Baker (2008) find logged areas burn more severely than intact forest. Large old trees have thick bark with natural fire resistance that young plantations lack entirely.</w:t>
            </w:r>
          </w:p>
        </w:tc>
      </w:tr>
      <w:tr>
        <w:tc>
          <w:tcPr>
            <w:tcW w:type="dxa" w:w="4560"/>
            <w:tcBorders>
              <w:top w:val="single" w:color="CCCCCC" w:sz="4"/>
              <w:left w:val="single" w:color="CCCCCC" w:sz="4"/>
              <w:bottom w:val="single" w:color="CCCCCC" w:sz="4"/>
              <w:right w:val="single" w:color="CCCCCC" w:sz="4"/>
            </w:tcBorders>
            <w:shd w:fill="FFF0EA" w:val="clear"/>
            <w:tcMar>
              <w:top w:type="dxa" w:w="80"/>
              <w:left w:type="dxa" w:w="140"/>
              <w:bottom w:type="dxa" w:w="80"/>
              <w:right w:type="dxa" w:w="140"/>
            </w:tcMar>
          </w:tcPr>
          <w:p>
            <w:pPr>
              <w:spacing w:before="0" w:after="40"/>
              <w:jc w:val="left"/>
            </w:pPr>
            <w:r>
              <w:rPr>
                <w:rFonts w:ascii="Arial" w:cs="Arial" w:eastAsia="Arial" w:hAnsi="Arial"/>
                <w:b/>
                <w:bCs/>
                <w:i w:val="false"/>
                <w:iCs w:val="false"/>
                <w:color w:val="C44B1A"/>
                <w:sz w:val="17"/>
                <w:szCs w:val="17"/>
              </w:rPr>
              <w:t xml:space="preserve">MYTH</w:t>
            </w:r>
          </w:p>
          <w:p>
            <w:pPr>
              <w:spacing w:before="0" w:after="40"/>
              <w:jc w:val="left"/>
            </w:pPr>
            <w:r>
              <w:rPr>
                <w:rFonts w:ascii="Arial" w:cs="Arial" w:eastAsia="Arial" w:hAnsi="Arial"/>
                <w:b w:val="false"/>
                <w:bCs w:val="false"/>
                <w:i/>
                <w:iCs/>
                <w:color w:val="5A1A00"/>
                <w:sz w:val="20"/>
                <w:szCs w:val="20"/>
              </w:rPr>
              <w:t xml:space="preserve">"Old-growth and dense forests are fire hazards that must be thinned."</w:t>
            </w:r>
          </w:p>
        </w:tc>
        <w:tc>
          <w:tcPr>
            <w:tcW w:type="dxa" w:w="4800"/>
            <w:tcBorders>
              <w:top w:val="single" w:color="CCCCCC" w:sz="4"/>
              <w:left w:val="single" w:color="CCCCCC" w:sz="4"/>
              <w:bottom w:val="single" w:color="CCCCCC" w:sz="4"/>
              <w:right w:val="single" w:color="CCCCCC" w:sz="4"/>
            </w:tcBorders>
            <w:shd w:fill="E8F4EE" w:val="clear"/>
            <w:tcMar>
              <w:top w:type="dxa" w:w="80"/>
              <w:left w:type="dxa" w:w="140"/>
              <w:bottom w:type="dxa" w:w="80"/>
              <w:right w:type="dxa" w:w="140"/>
            </w:tcMar>
          </w:tcPr>
          <w:p>
            <w:pPr>
              <w:spacing w:before="0" w:after="40"/>
              <w:jc w:val="left"/>
            </w:pPr>
            <w:r>
              <w:rPr>
                <w:rFonts w:ascii="Arial" w:cs="Arial" w:eastAsia="Arial" w:hAnsi="Arial"/>
                <w:b/>
                <w:bCs/>
                <w:i w:val="false"/>
                <w:iCs w:val="false"/>
                <w:color w:val="40916C"/>
                <w:sz w:val="17"/>
                <w:szCs w:val="17"/>
              </w:rPr>
              <w:t xml:space="preserve">SCIENCE</w:t>
            </w:r>
          </w:p>
          <w:p>
            <w:pPr>
              <w:spacing w:before="0" w:after="40"/>
              <w:jc w:val="left"/>
            </w:pPr>
            <w:r>
              <w:rPr>
                <w:rFonts w:ascii="Arial" w:cs="Arial" w:eastAsia="Arial" w:hAnsi="Arial"/>
                <w:b w:val="false"/>
                <w:bCs w:val="false"/>
                <w:i w:val="false"/>
                <w:iCs w:val="false"/>
                <w:color w:val="1C1A16"/>
                <w:sz w:val="20"/>
                <w:szCs w:val="20"/>
              </w:rPr>
              <w:t xml:space="preserve">Moist and wet western Oregon forests are among the most fire-RESISTANT ecosystems in North America. Chuck Willer's CRA-submitted NWFP analysis documents that these moist/wet forest types have high natural resilience and do NOT require commercial thinning for fire resistance purposes.</w:t>
            </w:r>
          </w:p>
        </w:tc>
      </w:tr>
      <w:tr>
        <w:tc>
          <w:tcPr>
            <w:tcW w:type="dxa" w:w="4560"/>
            <w:tcBorders>
              <w:top w:val="single" w:color="CCCCCC" w:sz="4"/>
              <w:left w:val="single" w:color="CCCCCC" w:sz="4"/>
              <w:bottom w:val="single" w:color="CCCCCC" w:sz="4"/>
              <w:right w:val="single" w:color="CCCCCC" w:sz="4"/>
            </w:tcBorders>
            <w:shd w:fill="FFF5F0" w:val="clear"/>
            <w:tcMar>
              <w:top w:type="dxa" w:w="80"/>
              <w:left w:type="dxa" w:w="140"/>
              <w:bottom w:type="dxa" w:w="80"/>
              <w:right w:type="dxa" w:w="140"/>
            </w:tcMar>
          </w:tcPr>
          <w:p>
            <w:pPr>
              <w:spacing w:before="0" w:after="40"/>
              <w:jc w:val="left"/>
            </w:pPr>
            <w:r>
              <w:rPr>
                <w:rFonts w:ascii="Arial" w:cs="Arial" w:eastAsia="Arial" w:hAnsi="Arial"/>
                <w:b/>
                <w:bCs/>
                <w:i w:val="false"/>
                <w:iCs w:val="false"/>
                <w:color w:val="C44B1A"/>
                <w:sz w:val="17"/>
                <w:szCs w:val="17"/>
              </w:rPr>
              <w:t xml:space="preserve">MYTH</w:t>
            </w:r>
          </w:p>
          <w:p>
            <w:pPr>
              <w:spacing w:before="0" w:after="40"/>
              <w:jc w:val="left"/>
            </w:pPr>
            <w:r>
              <w:rPr>
                <w:rFonts w:ascii="Arial" w:cs="Arial" w:eastAsia="Arial" w:hAnsi="Arial"/>
                <w:b w:val="false"/>
                <w:bCs w:val="false"/>
                <w:i/>
                <w:iCs/>
                <w:color w:val="5A1A00"/>
                <w:sz w:val="20"/>
                <w:szCs w:val="20"/>
              </w:rPr>
              <w:t xml:space="preserve">"Salvage logging after wildfire is needed for forest recovery."</w:t>
            </w:r>
          </w:p>
        </w:tc>
        <w:tc>
          <w:tcPr>
            <w:tcW w:type="dxa" w:w="4800"/>
            <w:tcBorders>
              <w:top w:val="single" w:color="CCCCCC" w:sz="4"/>
              <w:left w:val="single" w:color="CCCCCC" w:sz="4"/>
              <w:bottom w:val="single" w:color="CCCCCC" w:sz="4"/>
              <w:right w:val="single" w:color="CCCCCC" w:sz="4"/>
            </w:tcBorders>
            <w:shd w:fill="EEF7F3" w:val="clear"/>
            <w:tcMar>
              <w:top w:type="dxa" w:w="80"/>
              <w:left w:type="dxa" w:w="140"/>
              <w:bottom w:type="dxa" w:w="80"/>
              <w:right w:type="dxa" w:w="140"/>
            </w:tcMar>
          </w:tcPr>
          <w:p>
            <w:pPr>
              <w:spacing w:before="0" w:after="40"/>
              <w:jc w:val="left"/>
            </w:pPr>
            <w:r>
              <w:rPr>
                <w:rFonts w:ascii="Arial" w:cs="Arial" w:eastAsia="Arial" w:hAnsi="Arial"/>
                <w:b/>
                <w:bCs/>
                <w:i w:val="false"/>
                <w:iCs w:val="false"/>
                <w:color w:val="40916C"/>
                <w:sz w:val="17"/>
                <w:szCs w:val="17"/>
              </w:rPr>
              <w:t xml:space="preserve">SCIENCE</w:t>
            </w:r>
          </w:p>
          <w:p>
            <w:pPr>
              <w:spacing w:before="0" w:after="40"/>
              <w:jc w:val="left"/>
            </w:pPr>
            <w:r>
              <w:rPr>
                <w:rFonts w:ascii="Arial" w:cs="Arial" w:eastAsia="Arial" w:hAnsi="Arial"/>
                <w:b w:val="false"/>
                <w:bCs w:val="false"/>
                <w:i w:val="false"/>
                <w:iCs w:val="false"/>
                <w:color w:val="1C1A16"/>
                <w:sz w:val="20"/>
                <w:szCs w:val="20"/>
              </w:rPr>
              <w:t xml:space="preserve">Dr. Dominick DellaSalla and colleagues document that post-fire 'salvage' logging removes biological legacy — standing snags, downed wood, and seed trees — that enable natural regeneration. Post-fire logging is associated with WORSE recovery outcomes than leaving burned forest intact.</w:t>
            </w:r>
          </w:p>
        </w:tc>
      </w:tr>
      <w:tr>
        <w:tc>
          <w:tcPr>
            <w:tcW w:type="dxa" w:w="4560"/>
            <w:tcBorders>
              <w:top w:val="single" w:color="CCCCCC" w:sz="4"/>
              <w:left w:val="single" w:color="CCCCCC" w:sz="4"/>
              <w:bottom w:val="single" w:color="CCCCCC" w:sz="4"/>
              <w:right w:val="single" w:color="CCCCCC" w:sz="4"/>
            </w:tcBorders>
            <w:shd w:fill="FFF0EA" w:val="clear"/>
            <w:tcMar>
              <w:top w:type="dxa" w:w="80"/>
              <w:left w:type="dxa" w:w="140"/>
              <w:bottom w:type="dxa" w:w="80"/>
              <w:right w:type="dxa" w:w="140"/>
            </w:tcMar>
          </w:tcPr>
          <w:p>
            <w:pPr>
              <w:spacing w:before="0" w:after="40"/>
              <w:jc w:val="left"/>
            </w:pPr>
            <w:r>
              <w:rPr>
                <w:rFonts w:ascii="Arial" w:cs="Arial" w:eastAsia="Arial" w:hAnsi="Arial"/>
                <w:b/>
                <w:bCs/>
                <w:i w:val="false"/>
                <w:iCs w:val="false"/>
                <w:color w:val="C44B1A"/>
                <w:sz w:val="17"/>
                <w:szCs w:val="17"/>
              </w:rPr>
              <w:t xml:space="preserve">MYTH</w:t>
            </w:r>
          </w:p>
          <w:p>
            <w:pPr>
              <w:spacing w:before="0" w:after="40"/>
              <w:jc w:val="left"/>
            </w:pPr>
            <w:r>
              <w:rPr>
                <w:rFonts w:ascii="Arial" w:cs="Arial" w:eastAsia="Arial" w:hAnsi="Arial"/>
                <w:b w:val="false"/>
                <w:bCs w:val="false"/>
                <w:i/>
                <w:iCs/>
                <w:color w:val="5A1A00"/>
                <w:sz w:val="20"/>
                <w:szCs w:val="20"/>
              </w:rPr>
              <w:t xml:space="preserve">"Slash pile burning is a safe, controlled fire management tool."</w:t>
            </w:r>
          </w:p>
        </w:tc>
        <w:tc>
          <w:tcPr>
            <w:tcW w:type="dxa" w:w="4800"/>
            <w:tcBorders>
              <w:top w:val="single" w:color="CCCCCC" w:sz="4"/>
              <w:left w:val="single" w:color="CCCCCC" w:sz="4"/>
              <w:bottom w:val="single" w:color="CCCCCC" w:sz="4"/>
              <w:right w:val="single" w:color="CCCCCC" w:sz="4"/>
            </w:tcBorders>
            <w:shd w:fill="E8F4EE" w:val="clear"/>
            <w:tcMar>
              <w:top w:type="dxa" w:w="80"/>
              <w:left w:type="dxa" w:w="140"/>
              <w:bottom w:type="dxa" w:w="80"/>
              <w:right w:type="dxa" w:w="140"/>
            </w:tcMar>
          </w:tcPr>
          <w:p>
            <w:pPr>
              <w:spacing w:before="0" w:after="40"/>
              <w:jc w:val="left"/>
            </w:pPr>
            <w:r>
              <w:rPr>
                <w:rFonts w:ascii="Arial" w:cs="Arial" w:eastAsia="Arial" w:hAnsi="Arial"/>
                <w:b/>
                <w:bCs/>
                <w:i w:val="false"/>
                <w:iCs w:val="false"/>
                <w:color w:val="40916C"/>
                <w:sz w:val="17"/>
                <w:szCs w:val="17"/>
              </w:rPr>
              <w:t xml:space="preserve">SCIENCE</w:t>
            </w:r>
          </w:p>
          <w:p>
            <w:pPr>
              <w:spacing w:before="0" w:after="40"/>
              <w:jc w:val="left"/>
            </w:pPr>
            <w:r>
              <w:rPr>
                <w:rFonts w:ascii="Arial" w:cs="Arial" w:eastAsia="Arial" w:hAnsi="Arial"/>
                <w:b w:val="false"/>
                <w:bCs w:val="false"/>
                <w:i w:val="false"/>
                <w:iCs w:val="false"/>
                <w:color w:val="1C1A16"/>
                <w:sz w:val="20"/>
                <w:szCs w:val="20"/>
              </w:rPr>
              <w:t xml:space="preserve">Post-clearcut slash burning creates dense PM2.5 smoke plumes with documented health impacts on surrounding communities. It eliminates soil-protective organic matter, increases erosion risk, and can escape control — especially in wind-exposed post-clearcut landscapes.</w:t>
            </w:r>
          </w:p>
        </w:tc>
      </w:tr>
      <w:tr>
        <w:tc>
          <w:tcPr>
            <w:tcW w:type="dxa" w:w="4560"/>
            <w:tcBorders>
              <w:top w:val="single" w:color="CCCCCC" w:sz="4"/>
              <w:left w:val="single" w:color="CCCCCC" w:sz="4"/>
              <w:bottom w:val="single" w:color="CCCCCC" w:sz="4"/>
              <w:right w:val="single" w:color="CCCCCC" w:sz="4"/>
            </w:tcBorders>
            <w:shd w:fill="FFF5F0" w:val="clear"/>
            <w:tcMar>
              <w:top w:type="dxa" w:w="80"/>
              <w:left w:type="dxa" w:w="140"/>
              <w:bottom w:type="dxa" w:w="80"/>
              <w:right w:type="dxa" w:w="140"/>
            </w:tcMar>
          </w:tcPr>
          <w:p>
            <w:pPr>
              <w:spacing w:before="0" w:after="40"/>
              <w:jc w:val="left"/>
            </w:pPr>
            <w:r>
              <w:rPr>
                <w:rFonts w:ascii="Arial" w:cs="Arial" w:eastAsia="Arial" w:hAnsi="Arial"/>
                <w:b/>
                <w:bCs/>
                <w:i w:val="false"/>
                <w:iCs w:val="false"/>
                <w:color w:val="C44B1A"/>
                <w:sz w:val="17"/>
                <w:szCs w:val="17"/>
              </w:rPr>
              <w:t xml:space="preserve">MYTH</w:t>
            </w:r>
          </w:p>
          <w:p>
            <w:pPr>
              <w:spacing w:before="0" w:after="40"/>
              <w:jc w:val="left"/>
            </w:pPr>
            <w:r>
              <w:rPr>
                <w:rFonts w:ascii="Arial" w:cs="Arial" w:eastAsia="Arial" w:hAnsi="Arial"/>
                <w:b w:val="false"/>
                <w:bCs w:val="false"/>
                <w:i/>
                <w:iCs/>
                <w:color w:val="5A1A00"/>
                <w:sz w:val="20"/>
                <w:szCs w:val="20"/>
              </w:rPr>
              <w:t xml:space="preserve">"Clearcutting creates fuel breaks that stop wildfire spread."</w:t>
            </w:r>
          </w:p>
        </w:tc>
        <w:tc>
          <w:tcPr>
            <w:tcW w:type="dxa" w:w="4800"/>
            <w:tcBorders>
              <w:top w:val="single" w:color="CCCCCC" w:sz="4"/>
              <w:left w:val="single" w:color="CCCCCC" w:sz="4"/>
              <w:bottom w:val="single" w:color="CCCCCC" w:sz="4"/>
              <w:right w:val="single" w:color="CCCCCC" w:sz="4"/>
            </w:tcBorders>
            <w:shd w:fill="EEF7F3" w:val="clear"/>
            <w:tcMar>
              <w:top w:type="dxa" w:w="80"/>
              <w:left w:type="dxa" w:w="140"/>
              <w:bottom w:type="dxa" w:w="80"/>
              <w:right w:type="dxa" w:w="140"/>
            </w:tcMar>
          </w:tcPr>
          <w:p>
            <w:pPr>
              <w:spacing w:before="0" w:after="40"/>
              <w:jc w:val="left"/>
            </w:pPr>
            <w:r>
              <w:rPr>
                <w:rFonts w:ascii="Arial" w:cs="Arial" w:eastAsia="Arial" w:hAnsi="Arial"/>
                <w:b/>
                <w:bCs/>
                <w:i w:val="false"/>
                <w:iCs w:val="false"/>
                <w:color w:val="40916C"/>
                <w:sz w:val="17"/>
                <w:szCs w:val="17"/>
              </w:rPr>
              <w:t xml:space="preserve">SCIENCE</w:t>
            </w:r>
          </w:p>
          <w:p>
            <w:pPr>
              <w:spacing w:before="0" w:after="40"/>
              <w:jc w:val="left"/>
            </w:pPr>
            <w:r>
              <w:rPr>
                <w:rFonts w:ascii="Arial" w:cs="Arial" w:eastAsia="Arial" w:hAnsi="Arial"/>
                <w:b w:val="false"/>
                <w:bCs w:val="false"/>
                <w:i w:val="false"/>
                <w:iCs w:val="false"/>
                <w:color w:val="1C1A16"/>
                <w:sz w:val="20"/>
                <w:szCs w:val="20"/>
              </w:rPr>
              <w:t xml:space="preserve">Clearcuts remove windbreak trees, dramatically increasing ground-level wind speed — creating conditions that SPREAD surface fires. Dried-out logging debris, herbicide-killed broadleaf plants, and exposed dry soil become highly flammable within 2–5 years of harvest.</w:t>
            </w:r>
          </w:p>
        </w:tc>
      </w:tr>
      <w:tr>
        <w:tc>
          <w:tcPr>
            <w:tcW w:type="dxa" w:w="4560"/>
            <w:tcBorders>
              <w:top w:val="single" w:color="CCCCCC" w:sz="4"/>
              <w:left w:val="single" w:color="CCCCCC" w:sz="4"/>
              <w:bottom w:val="single" w:color="CCCCCC" w:sz="4"/>
              <w:right w:val="single" w:color="CCCCCC" w:sz="4"/>
            </w:tcBorders>
            <w:shd w:fill="FFF0EA" w:val="clear"/>
            <w:tcMar>
              <w:top w:type="dxa" w:w="80"/>
              <w:left w:type="dxa" w:w="140"/>
              <w:bottom w:type="dxa" w:w="80"/>
              <w:right w:type="dxa" w:w="140"/>
            </w:tcMar>
          </w:tcPr>
          <w:p>
            <w:pPr>
              <w:spacing w:before="0" w:after="40"/>
              <w:jc w:val="left"/>
            </w:pPr>
            <w:r>
              <w:rPr>
                <w:rFonts w:ascii="Arial" w:cs="Arial" w:eastAsia="Arial" w:hAnsi="Arial"/>
                <w:b/>
                <w:bCs/>
                <w:i w:val="false"/>
                <w:iCs w:val="false"/>
                <w:color w:val="C44B1A"/>
                <w:sz w:val="17"/>
                <w:szCs w:val="17"/>
              </w:rPr>
              <w:t xml:space="preserve">MYTH</w:t>
            </w:r>
          </w:p>
          <w:p>
            <w:pPr>
              <w:spacing w:before="0" w:after="40"/>
              <w:jc w:val="left"/>
            </w:pPr>
            <w:r>
              <w:rPr>
                <w:rFonts w:ascii="Arial" w:cs="Arial" w:eastAsia="Arial" w:hAnsi="Arial"/>
                <w:b w:val="false"/>
                <w:bCs w:val="false"/>
                <w:i/>
                <w:iCs/>
                <w:color w:val="5A1A00"/>
                <w:sz w:val="20"/>
                <w:szCs w:val="20"/>
              </w:rPr>
              <w:t xml:space="preserve">"Home destruction from wildfire is caused by unmanaged forests."</w:t>
            </w:r>
          </w:p>
        </w:tc>
        <w:tc>
          <w:tcPr>
            <w:tcW w:type="dxa" w:w="4800"/>
            <w:tcBorders>
              <w:top w:val="single" w:color="CCCCCC" w:sz="4"/>
              <w:left w:val="single" w:color="CCCCCC" w:sz="4"/>
              <w:bottom w:val="single" w:color="CCCCCC" w:sz="4"/>
              <w:right w:val="single" w:color="CCCCCC" w:sz="4"/>
            </w:tcBorders>
            <w:shd w:fill="E8F4EE" w:val="clear"/>
            <w:tcMar>
              <w:top w:type="dxa" w:w="80"/>
              <w:left w:type="dxa" w:w="140"/>
              <w:bottom w:type="dxa" w:w="80"/>
              <w:right w:type="dxa" w:w="140"/>
            </w:tcMar>
          </w:tcPr>
          <w:p>
            <w:pPr>
              <w:spacing w:before="0" w:after="40"/>
              <w:jc w:val="left"/>
            </w:pPr>
            <w:r>
              <w:rPr>
                <w:rFonts w:ascii="Arial" w:cs="Arial" w:eastAsia="Arial" w:hAnsi="Arial"/>
                <w:b/>
                <w:bCs/>
                <w:i w:val="false"/>
                <w:iCs w:val="false"/>
                <w:color w:val="40916C"/>
                <w:sz w:val="17"/>
                <w:szCs w:val="17"/>
              </w:rPr>
              <w:t xml:space="preserve">SCIENCE</w:t>
            </w:r>
          </w:p>
          <w:p>
            <w:pPr>
              <w:spacing w:before="0" w:after="40"/>
              <w:jc w:val="left"/>
            </w:pPr>
            <w:r>
              <w:rPr>
                <w:rFonts w:ascii="Arial" w:cs="Arial" w:eastAsia="Arial" w:hAnsi="Arial"/>
                <w:b w:val="false"/>
                <w:bCs w:val="false"/>
                <w:i w:val="false"/>
                <w:iCs w:val="false"/>
                <w:color w:val="1C1A16"/>
                <w:sz w:val="20"/>
                <w:szCs w:val="20"/>
              </w:rPr>
              <w:t xml:space="preserve">'Home hardening' — ember-resistant vents, Class A roofing, ember-resistant zone within 5 feet of structures — is documented by the Insurance Institute for Business &amp; Home Safety (IBHS) as the most effective intervention for reducing structure loss. This is a community safety issue, not a logging justification.</w:t>
            </w:r>
          </w:p>
        </w:tc>
      </w:tr>
      <w:tr>
        <w:tc>
          <w:tcPr>
            <w:tcW w:type="dxa" w:w="4560"/>
            <w:tcBorders>
              <w:top w:val="single" w:color="CCCCCC" w:sz="4"/>
              <w:left w:val="single" w:color="CCCCCC" w:sz="4"/>
              <w:bottom w:val="single" w:color="CCCCCC" w:sz="4"/>
              <w:right w:val="single" w:color="CCCCCC" w:sz="4"/>
            </w:tcBorders>
            <w:shd w:fill="FFF5F0" w:val="clear"/>
            <w:tcMar>
              <w:top w:type="dxa" w:w="80"/>
              <w:left w:type="dxa" w:w="140"/>
              <w:bottom w:type="dxa" w:w="80"/>
              <w:right w:type="dxa" w:w="140"/>
            </w:tcMar>
          </w:tcPr>
          <w:p>
            <w:pPr>
              <w:spacing w:before="0" w:after="40"/>
              <w:jc w:val="left"/>
            </w:pPr>
            <w:r>
              <w:rPr>
                <w:rFonts w:ascii="Arial" w:cs="Arial" w:eastAsia="Arial" w:hAnsi="Arial"/>
                <w:b/>
                <w:bCs/>
                <w:i w:val="false"/>
                <w:iCs w:val="false"/>
                <w:color w:val="C44B1A"/>
                <w:sz w:val="17"/>
                <w:szCs w:val="17"/>
              </w:rPr>
              <w:t xml:space="preserve">MYTH</w:t>
            </w:r>
          </w:p>
          <w:p>
            <w:pPr>
              <w:spacing w:before="0" w:after="40"/>
              <w:jc w:val="left"/>
            </w:pPr>
            <w:r>
              <w:rPr>
                <w:rFonts w:ascii="Arial" w:cs="Arial" w:eastAsia="Arial" w:hAnsi="Arial"/>
                <w:b w:val="false"/>
                <w:bCs w:val="false"/>
                <w:i/>
                <w:iCs/>
                <w:color w:val="5A1A00"/>
                <w:sz w:val="20"/>
                <w:szCs w:val="20"/>
              </w:rPr>
              <w:t xml:space="preserve">"More logging = more forest resilience."</w:t>
            </w:r>
          </w:p>
        </w:tc>
        <w:tc>
          <w:tcPr>
            <w:tcW w:type="dxa" w:w="4800"/>
            <w:tcBorders>
              <w:top w:val="single" w:color="CCCCCC" w:sz="4"/>
              <w:left w:val="single" w:color="CCCCCC" w:sz="4"/>
              <w:bottom w:val="single" w:color="CCCCCC" w:sz="4"/>
              <w:right w:val="single" w:color="CCCCCC" w:sz="4"/>
            </w:tcBorders>
            <w:shd w:fill="EEF7F3" w:val="clear"/>
            <w:tcMar>
              <w:top w:type="dxa" w:w="80"/>
              <w:left w:type="dxa" w:w="140"/>
              <w:bottom w:type="dxa" w:w="80"/>
              <w:right w:type="dxa" w:w="140"/>
            </w:tcMar>
          </w:tcPr>
          <w:p>
            <w:pPr>
              <w:spacing w:before="0" w:after="40"/>
              <w:jc w:val="left"/>
            </w:pPr>
            <w:r>
              <w:rPr>
                <w:rFonts w:ascii="Arial" w:cs="Arial" w:eastAsia="Arial" w:hAnsi="Arial"/>
                <w:b/>
                <w:bCs/>
                <w:i w:val="false"/>
                <w:iCs w:val="false"/>
                <w:color w:val="40916C"/>
                <w:sz w:val="17"/>
                <w:szCs w:val="17"/>
              </w:rPr>
              <w:t xml:space="preserve">SCIENCE</w:t>
            </w:r>
          </w:p>
          <w:p>
            <w:pPr>
              <w:spacing w:before="0" w:after="40"/>
              <w:jc w:val="left"/>
            </w:pPr>
            <w:r>
              <w:rPr>
                <w:rFonts w:ascii="Arial" w:cs="Arial" w:eastAsia="Arial" w:hAnsi="Arial"/>
                <w:b w:val="false"/>
                <w:bCs w:val="false"/>
                <w:i w:val="false"/>
                <w:iCs w:val="false"/>
                <w:color w:val="1C1A16"/>
                <w:sz w:val="20"/>
                <w:szCs w:val="20"/>
              </w:rPr>
              <w:t xml:space="preserve">RESISTANCE (capacity to withstand disturbance) and RESILIENCE (capacity to recover) are distinct ecological concepts. Old-growth forests have HIGH resistance. Managed plantations have LOW resistance. The proposed plan converts resistant old-growth to low-resistance plantations — the opposite of community protection.</w:t>
            </w:r>
          </w:p>
        </w:tc>
      </w:tr>
    </w:tbl>
    <w:p>
      <w:pPr>
        <w:spacing w:before="20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Fire Risk Comparison: Intact Old-Growth Forest vs. Recent Clearcut (2–5 Years Post-Harvest)</w:t>
      </w:r>
    </w:p>
    <w:p>
      <w:pPr>
        <w:spacing w:before="80" w:after="80"/>
        <w:jc w:val="left"/>
      </w:pPr>
      <w:r>
        <w:rPr>
          <w:rFonts w:ascii="Arial" w:cs="Arial" w:eastAsia="Arial" w:hAnsi="Arial"/>
          <w:b w:val="false"/>
          <w:bCs w:val="false"/>
          <w:i w:val="false"/>
          <w:iCs w:val="false"/>
          <w:color w:val="1C1A16"/>
          <w:sz w:val="22"/>
          <w:szCs w:val="22"/>
        </w:rPr>
        <w:t xml:space="preserve">Relative fire risk index (0 = no risk; 100 = maximum risk) based on published research by Hanson (2021), Rhodes &amp; Baker (2008), and USFS Fire Laboratory studies.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2000"/>
        <w:gridCol w:w="2760"/>
      </w:tblGrid>
      <w:tr>
        <w:trPr>
          <w:tblHeader/>
        </w:trPr>
        <w:tc>
          <w:tcPr>
            <w:tcW w:type="dxa" w:w="26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Risk Factor</w:t>
            </w:r>
          </w:p>
        </w:tc>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Intact Old-Growth Forest</w:t>
            </w:r>
          </w:p>
        </w:tc>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Recent Clearcut (2–5 yrs)</w:t>
            </w:r>
          </w:p>
        </w:tc>
        <w:tc>
          <w:tcPr>
            <w:tcW w:type="dxa" w:w="27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Why the Difference</w:t>
            </w:r>
          </w:p>
        </w:tc>
      </w:tr>
      <w:tr>
        <w:tc>
          <w:tcPr>
            <w:tcW w:type="dxa" w:w="2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Ignition Risk</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LOW — 20/100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HIGH — 75/100</w:t>
            </w:r>
          </w:p>
        </w:tc>
        <w:tc>
          <w:tcPr>
            <w:tcW w:type="dxa" w:w="27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Moist canopy, shaded soil vs. dry exposed surface fuels</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Surface Fire Spread Rate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LOW — 25/100</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VERY HIGH — 85/100</w:t>
            </w:r>
          </w:p>
        </w:tc>
        <w:tc>
          <w:tcPr>
            <w:tcW w:type="dxa" w:w="2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Forest floor moisture retention vs. dried slash and debris</w:t>
            </w:r>
          </w:p>
        </w:tc>
      </w:tr>
      <w:tr>
        <w:tc>
          <w:tcPr>
            <w:tcW w:type="dxa" w:w="2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Crown Fire Risk</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LOW — 15/100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MODERATE — 65/100</w:t>
            </w:r>
          </w:p>
        </w:tc>
        <w:tc>
          <w:tcPr>
            <w:tcW w:type="dxa" w:w="27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Separated canopy layers vs. ladder fuels from slash</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Wind Exposure (fire spread)</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LOW — 10/100</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EXTREME — 95/100</w:t>
            </w:r>
          </w:p>
        </w:tc>
        <w:tc>
          <w:tcPr>
            <w:tcW w:type="dxa" w:w="2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Large trees block wind vs. no windbreak after harvest</w:t>
            </w:r>
          </w:p>
        </w:tc>
      </w:tr>
      <w:tr>
        <w:tc>
          <w:tcPr>
            <w:tcW w:type="dxa" w:w="2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Smoke / Air Quality Impact</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LOW — 10/100</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EXTREME — 90/100</w:t>
            </w:r>
          </w:p>
        </w:tc>
        <w:tc>
          <w:tcPr>
            <w:tcW w:type="dxa" w:w="27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Natural fire rare vs. slash burning is routine and intense</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Post-Fire Recovery Time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FAST — 15/100 (yrs)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SLOW — 80/100 (decades)</w:t>
            </w:r>
          </w:p>
        </w:tc>
        <w:tc>
          <w:tcPr>
            <w:tcW w:type="dxa" w:w="2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Biological legacy intact vs. seed trees and soil removed</w:t>
            </w:r>
          </w:p>
        </w:tc>
      </w:tr>
    </w:tbl>
    <w:p>
      <w:pPr>
        <w:spacing w:before="20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Federal Lands Wildfire Statistics: 2000–2024</w:t>
      </w:r>
    </w:p>
    <w:p>
      <w:pPr>
        <w:spacing w:before="80" w:after="80"/>
        <w:jc w:val="left"/>
      </w:pPr>
      <w:r>
        <w:rPr>
          <w:rFonts w:ascii="Arial" w:cs="Arial" w:eastAsia="Arial" w:hAnsi="Arial"/>
          <w:b w:val="false"/>
          <w:bCs w:val="false"/>
          <w:i w:val="false"/>
          <w:iCs w:val="false"/>
          <w:color w:val="1C1A16"/>
          <w:sz w:val="22"/>
          <w:szCs w:val="22"/>
        </w:rPr>
        <w:t xml:space="preserve">National Interagency Fire Center (NIFC) data on federal land acres burned annually. Note: year-to-year variability is high due to climate and weather; the long-term trend is upward, driven primarily by climate change, drought, and legacy fire suppression — not by the presence of old-growth forests.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3960"/>
      </w:tblGrid>
      <w:tr>
        <w:trPr>
          <w:tblHeader/>
        </w:trPr>
        <w:tc>
          <w:tcPr>
            <w:tcW w:type="dxa" w:w="26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Period / Year</w:t>
            </w:r>
          </w:p>
        </w:tc>
        <w:tc>
          <w:tcPr>
            <w:tcW w:type="dxa" w:w="2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Federal Acres Burned</w:t>
            </w:r>
          </w:p>
        </w:tc>
        <w:tc>
          <w:tcPr>
            <w:tcW w:type="dxa" w:w="39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Context</w:t>
            </w:r>
          </w:p>
        </w:tc>
      </w:tr>
      <w:tr>
        <w:tc>
          <w:tcPr>
            <w:tcW w:type="dxa" w:w="2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2000–2010 Average</w:t>
            </w:r>
          </w:p>
        </w:tc>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5.8 million acres/year</w:t>
            </w:r>
          </w:p>
        </w:tc>
        <w:tc>
          <w:tcPr>
            <w:tcW w:type="dxa" w:w="3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Elevated but below recent highs</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2011–2020 Average</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7.1 million acres/year</w:t>
            </w:r>
          </w:p>
        </w:tc>
        <w:tc>
          <w:tcPr>
            <w:tcW w:type="dxa" w:w="3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Upward trend driven by drought and climate</w:t>
            </w:r>
          </w:p>
        </w:tc>
      </w:tr>
      <w:tr>
        <w:tc>
          <w:tcPr>
            <w:tcW w:type="dxa" w:w="2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2021</w:t>
            </w:r>
          </w:p>
        </w:tc>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7.1 million acres</w:t>
            </w:r>
          </w:p>
        </w:tc>
        <w:tc>
          <w:tcPr>
            <w:tcW w:type="dxa" w:w="3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High fire season</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2022</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7.6 million acres</w:t>
            </w:r>
          </w:p>
        </w:tc>
        <w:tc>
          <w:tcPr>
            <w:tcW w:type="dxa" w:w="3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Continued high activity</w:t>
            </w:r>
          </w:p>
        </w:tc>
      </w:tr>
      <w:tr>
        <w:tc>
          <w:tcPr>
            <w:tcW w:type="dxa" w:w="2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2023</w:t>
            </w:r>
          </w:p>
        </w:tc>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2.7 million acres</w:t>
            </w:r>
          </w:p>
        </w:tc>
        <w:tc>
          <w:tcPr>
            <w:tcW w:type="dxa" w:w="3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Below average — demonstrates annual variability</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2024</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8.8 million acres</w:t>
            </w:r>
          </w:p>
        </w:tc>
        <w:tc>
          <w:tcPr>
            <w:tcW w:type="dxa" w:w="3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High season — NOT caused by old-growth forest presence</w:t>
            </w:r>
          </w:p>
        </w:tc>
      </w:tr>
      <w:tr>
        <w:tc>
          <w:tcPr>
            <w:tcW w:type="dxa" w:w="2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2025 (Jan–Nov 28)</w:t>
            </w:r>
          </w:p>
        </w:tc>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4.9 million acres</w:t>
            </w:r>
          </w:p>
        </w:tc>
        <w:tc>
          <w:tcPr>
            <w:tcW w:type="dxa" w:w="3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Ongoing; BLM figure cited in NOI (Notice of Intent)</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BLM OR/WA Average (2009–2024)</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236,530 acres/year</w:t>
            </w:r>
          </w:p>
        </w:tc>
        <w:tc>
          <w:tcPr>
            <w:tcW w:type="dxa" w:w="3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Includes moist Coast Range — lower fire risk zone</w:t>
            </w:r>
          </w:p>
        </w:tc>
      </w:tr>
    </w:tbl>
    <w:p>
      <w:pPr>
        <w:spacing w:before="160" w:after="0"/>
        <w:jc w:val="left"/>
      </w:pPr>
      <w:r>
        <w:rPr>
          <w:rFonts w:ascii="Arial" w:cs="Arial" w:eastAsia="Arial" w:hAnsi="Arial"/>
          <w:b w:val="false"/>
          <w:bCs w:val="false"/>
          <w:i w:val="false"/>
          <w:iCs w:val="false"/>
          <w:color w:val="1C1A16"/>
          <w:sz w:val="22"/>
          <w:szCs w:val="22"/>
        </w:rPr>
        <w:t xml:space="preserve"/>
      </w:r>
    </w:p>
    <w:p>
      <w:pPr>
        <w:pBdr>
          <w:top w:val="single" w:color="40916C" w:sz="8"/>
          <w:left w:val="single" w:color="40916C" w:sz="18"/>
          <w:right w:val="single" w:color="40916C" w:sz="4"/>
        </w:pBdr>
        <w:shd w:fill="EEF7F3" w:val="clear"/>
        <w:spacing w:before="200" w:after="0"/>
        <w:ind w:left="180" w:right="180"/>
        <w:jc w:val="left"/>
      </w:pPr>
      <w:r>
        <w:rPr>
          <w:rFonts w:ascii="Arial" w:cs="Arial" w:eastAsia="Arial" w:hAnsi="Arial"/>
          <w:b/>
          <w:bCs/>
          <w:i w:val="false"/>
          <w:iCs w:val="false"/>
          <w:color w:val="1A3D2B"/>
          <w:sz w:val="23"/>
          <w:szCs w:val="23"/>
        </w:rPr>
        <w:t xml:space="preserve">Key Research — EIS Must Engage These Sources</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Hanson, C.T. (2021): The Myth of 'Catastrophic' Wildfire — John Muir Project Technical Report</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DellaSalla, D.A. &amp; Hanson, C.T. (Eds.) (2019): The Ecological Importance of Mixed-Severity Fires — Elsevier</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Rhodes, J.J. &amp; Baker, W.L. (2008): Fire probability, fuel treatment effectiveness — Open Forest Science Journal</w:t>
      </w:r>
    </w:p>
    <w:p>
      <w:pPr>
        <w:pBdr>
          <w:bottom w:val="single" w:color="40916C" w:sz="8"/>
          <w:left w:val="single" w:color="40916C" w:sz="18"/>
          <w:right w:val="single" w:color="40916C" w:sz="4"/>
        </w:pBdr>
        <w:shd w:fill="EEF7F3" w:val="clear"/>
        <w:spacing w:before="0" w:after="200"/>
        <w:ind w:left="180" w:right="180"/>
        <w:jc w:val="left"/>
      </w:pPr>
      <w:r>
        <w:rPr>
          <w:rFonts w:ascii="Arial" w:cs="Arial" w:eastAsia="Arial" w:hAnsi="Arial"/>
          <w:b w:val="false"/>
          <w:bCs w:val="false"/>
          <w:i w:val="false"/>
          <w:iCs w:val="false"/>
          <w:color w:val="1C1A16"/>
          <w:sz w:val="21"/>
          <w:szCs w:val="21"/>
        </w:rPr>
        <w:t xml:space="preserve">Willer, C. — Coast Range Association scoping submission on moist forest fire resistance, NWFP process</w:t>
      </w:r>
    </w:p>
    <w:p>
      <w:r>
        <w:br w:type="page"/>
      </w:r>
    </w:p>
    <w:p>
      <w:pPr>
        <w:pStyle w:val="Heading1"/>
        <w:pBdr>
          <w:bottom w:val="single" w:color="40916C" w:sz="10" w:space="4"/>
        </w:pBdr>
        <w:spacing w:before="340" w:after="160"/>
        <w:jc w:val="left"/>
      </w:pPr>
      <w:r>
        <w:rPr>
          <w:rFonts w:ascii="Arial" w:cs="Arial" w:eastAsia="Arial" w:hAnsi="Arial"/>
          <w:b/>
          <w:bCs/>
          <w:i w:val="false"/>
          <w:iCs w:val="false"/>
          <w:color w:val="1A3D2B"/>
          <w:sz w:val="30"/>
          <w:szCs w:val="30"/>
        </w:rPr>
        <w:t xml:space="preserve">Section 4 — Herbicide &amp; Toxic Chemical Timeline</w:t>
      </w:r>
    </w:p>
    <w:p>
      <w:pPr>
        <w:spacing w:before="80" w:after="80"/>
        <w:jc w:val="left"/>
      </w:pPr>
      <w:r>
        <w:rPr>
          <w:rFonts w:ascii="Arial" w:cs="Arial" w:eastAsia="Arial" w:hAnsi="Arial"/>
          <w:b w:val="false"/>
          <w:bCs w:val="false"/>
          <w:i w:val="false"/>
          <w:iCs w:val="false"/>
          <w:color w:val="1C1A16"/>
          <w:sz w:val="22"/>
          <w:szCs w:val="22"/>
        </w:rPr>
        <w:t xml:space="preserve">From Rachel Carson (1962) to the Alsea lawsuit to the current Executive Order expansion — a century of chemical industry capture of regulatory oversight, and the documented health consequences for Oregon communities.</w:t>
      </w:r>
    </w:p>
    <w:p>
      <w:pPr>
        <w:pBdr>
          <w:top w:val="single" w:color="C44B1A" w:sz="8"/>
          <w:left w:val="single" w:color="C44B1A" w:sz="18"/>
          <w:right w:val="single" w:color="C44B1A" w:sz="4"/>
        </w:pBdr>
        <w:shd w:fill="FFF0EE" w:val="clear"/>
        <w:spacing w:before="200" w:after="0"/>
        <w:ind w:left="180" w:right="180"/>
        <w:jc w:val="left"/>
      </w:pPr>
      <w:r>
        <w:rPr>
          <w:rFonts w:ascii="Arial" w:cs="Arial" w:eastAsia="Arial" w:hAnsi="Arial"/>
          <w:b/>
          <w:bCs/>
          <w:i w:val="false"/>
          <w:iCs w:val="false"/>
          <w:color w:val="7B0000"/>
          <w:sz w:val="23"/>
          <w:szCs w:val="23"/>
        </w:rPr>
        <w:t xml:space="preserve">Current Status (2026): Expanding Chemical Use on Federal Lands</w:t>
      </w:r>
    </w:p>
    <w:p>
      <w:pPr>
        <w:pBdr>
          <w:bottom w:val="single" w:color="C44B1A" w:sz="8"/>
          <w:left w:val="single" w:color="C44B1A" w:sz="18"/>
          <w:right w:val="single" w:color="C44B1A" w:sz="4"/>
        </w:pBdr>
        <w:shd w:fill="FFF0EE" w:val="clear"/>
        <w:spacing w:before="0" w:after="200"/>
        <w:ind w:left="180" w:right="180"/>
        <w:jc w:val="left"/>
      </w:pPr>
      <w:r>
        <w:rPr>
          <w:rFonts w:ascii="Arial" w:cs="Arial" w:eastAsia="Arial" w:hAnsi="Arial"/>
          <w:b w:val="false"/>
          <w:bCs w:val="false"/>
          <w:i w:val="false"/>
          <w:iCs w:val="false"/>
          <w:color w:val="1C1A16"/>
          <w:sz w:val="21"/>
          <w:szCs w:val="21"/>
        </w:rPr>
        <w:t xml:space="preserve">Recent Executive Orders have not only preserved glyphosate and other herbicides from restriction but are actively pushing expanded chemical use on American lands. The EPA's standard-setting process for pesticides and herbicides has been subject to documented industry capture for decades. The proposed RMP revision will inevitably require expanded herbicide use under the Oregon Forest Practices Act 'free to grow' requirement.</w:t>
      </w:r>
    </w:p>
    <w:p>
      <w:pPr>
        <w:spacing w:before="16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Herbicide Use: Key Events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400"/>
        <w:gridCol w:w="3160"/>
      </w:tblGrid>
      <w:tr>
        <w:trPr>
          <w:tblHeader/>
        </w:trPr>
        <w:tc>
          <w:tcPr>
            <w:tcW w:type="dxa" w:w="2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Year / Event</w:t>
            </w:r>
          </w:p>
        </w:tc>
        <w:tc>
          <w:tcPr>
            <w:tcW w:type="dxa" w:w="34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What Happened</w:t>
            </w:r>
          </w:p>
        </w:tc>
        <w:tc>
          <w:tcPr>
            <w:tcW w:type="dxa" w:w="31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Significance</w:t>
            </w:r>
          </w:p>
        </w:tc>
      </w:tr>
      <w:tr>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1962 — Rachel Carson, 'Silent Spring'</w:t>
            </w:r>
          </w:p>
        </w:tc>
        <w:tc>
          <w:tcPr>
            <w:tcW w:type="dxa" w:w="3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Documents how DDT and other pesticides move through food chains, poisoning wildlife and threatening human health.</w:t>
            </w:r>
          </w:p>
        </w:tc>
        <w:tc>
          <w:tcPr>
            <w:tcW w:type="dxa" w:w="3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Launches modern environmental movement; leads to DDT ban (1972). First public documentation of systemic chemical harms.</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Late 1960s–1970s — Agent Orange in Oregon forests</w:t>
            </w:r>
          </w:p>
        </w:tc>
        <w:tc>
          <w:tcPr>
            <w:tcW w:type="dxa" w:w="3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USFS and BLM applied 2,4,5-T (Agent Orange component) aerially on western Oregon timber lands.</w:t>
            </w:r>
          </w:p>
        </w:tc>
        <w:tc>
          <w:tcPr>
            <w:tcW w:type="dxa" w:w="3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Residents near Alsea documented miscarriages, birth defects, livestock deaths. Direct predecessor to federal lawsuits.</w:t>
            </w:r>
          </w:p>
        </w:tc>
      </w:tr>
      <w:tr>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1979–1985 — Alsea Women's lawsuit / Carol Van Strum</w:t>
            </w:r>
          </w:p>
        </w:tc>
        <w:tc>
          <w:tcPr>
            <w:tcW w:type="dxa" w:w="3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Women of Alsea petitioned EPA. Carol Van Strum's 'A Bitter Fog' documented industry suppression of evidence and EPA regulatory capture.</w:t>
            </w:r>
          </w:p>
        </w:tc>
        <w:tc>
          <w:tcPr>
            <w:tcW w:type="dxa" w:w="3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EPA suspended 2,4,5-T in 1979; full cancellation 1985. Documentary: 'The People vs. Agent Orange.' Directly relevant to this planning area.</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1984 — Post-Alsea USFS/BLM restrictions</w:t>
            </w:r>
          </w:p>
        </w:tc>
        <w:tc>
          <w:tcPr>
            <w:tcW w:type="dxa" w:w="3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Following Alsea lawsuit, USFS and BLM adopted limited chemical use guidelines west of the Cascades, including some aerial spray restrictions.</w:t>
            </w:r>
          </w:p>
        </w:tc>
        <w:tc>
          <w:tcPr>
            <w:tcW w:type="dxa" w:w="3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Restrictions were weaker than they appeared; enforcement inconsistent. Did not prevent continued herbicide use on federal lands.</w:t>
            </w:r>
          </w:p>
        </w:tc>
      </w:tr>
      <w:tr>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1971 (adopted) — Oregon Forest Practices Act 'Free to Grow'</w:t>
            </w:r>
          </w:p>
        </w:tc>
        <w:tc>
          <w:tcPr>
            <w:tcW w:type="dxa" w:w="3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Requires replanted stands to achieve 'free to grow' status within 4 years — driving mass herbicide application to kill competing broadleaf plants.</w:t>
            </w:r>
          </w:p>
        </w:tc>
        <w:tc>
          <w:tcPr>
            <w:tcW w:type="dxa" w:w="3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Structural legal driver of herbicide use. Creates incentive for glyphosate, atrazine, 2,4-D use on every replanted clearcut. Cannot be avoided at scale.</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2010 — Federal chemical list expansion</w:t>
            </w:r>
          </w:p>
        </w:tc>
        <w:tc>
          <w:tcPr>
            <w:tcW w:type="dxa" w:w="3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Updated federal land management guidelines added additional approved herbicides, reversing some post-Alsea restrictions.</w:t>
            </w:r>
          </w:p>
        </w:tc>
        <w:tc>
          <w:tcPr>
            <w:tcW w:type="dxa" w:w="3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Industry lobbying reframed herbicide use as 'vegetation management.' Chemical exposures increased without community notice.</w:t>
            </w:r>
          </w:p>
        </w:tc>
      </w:tr>
      <w:tr>
        <w:tc>
          <w:tcPr>
            <w:tcW w:type="dxa" w:w="2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2021 — Oregon Private Forest Accord</w:t>
            </w:r>
          </w:p>
        </w:tc>
        <w:tc>
          <w:tcPr>
            <w:tcW w:type="dxa" w:w="3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Negotiated agreement between timber industry, tribes, conservationists, and state. The topic of herbicides was EXPLICITLY EXCLUDED for at least 5 years as a condition of industry participation.</w:t>
            </w:r>
          </w:p>
        </w:tc>
        <w:tc>
          <w:tcPr>
            <w:tcW w:type="dxa" w:w="31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Even moderate reform was impossible without surrendering the herbicide issue. Demonstrates industry's refusal to accept any chemical accountability.</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2025–2026 — Executive Order expansion</w:t>
            </w:r>
          </w:p>
        </w:tc>
        <w:tc>
          <w:tcPr>
            <w:tcW w:type="dxa" w:w="3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Current administration EOs removed key restrictions on glyphosate and other herbicides, weakened EPA oversight.</w:t>
            </w:r>
          </w:p>
        </w:tc>
        <w:tc>
          <w:tcPr>
            <w:tcW w:type="dxa" w:w="3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Directly affects BLM O&amp;C lands. Proposed RMP expansion would layer increased herbicide use onto an already deregulated chemical environment.</w:t>
            </w:r>
          </w:p>
        </w:tc>
      </w:tr>
    </w:tbl>
    <w:p>
      <w:pPr>
        <w:spacing w:before="20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Herbicide / Chemical Comparison Table</w:t>
      </w:r>
    </w:p>
    <w:p>
      <w:pPr>
        <w:spacing w:before="80" w:after="80"/>
        <w:jc w:val="left"/>
      </w:pPr>
      <w:r>
        <w:rPr>
          <w:rFonts w:ascii="Arial" w:cs="Arial" w:eastAsia="Arial" w:hAnsi="Arial"/>
          <w:b w:val="false"/>
          <w:bCs w:val="false"/>
          <w:i w:val="false"/>
          <w:iCs w:val="false"/>
          <w:color w:val="1C1A16"/>
          <w:sz w:val="22"/>
          <w:szCs w:val="22"/>
        </w:rPr>
        <w:t xml:space="preserve">Chemicals currently approved or proposed for use on BLM timber lands in the planning area, with independent scientific assessment of risks.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700"/>
        <w:gridCol w:w="2000"/>
        <w:gridCol w:w="1600"/>
        <w:gridCol w:w="2260"/>
      </w:tblGrid>
      <w:tr>
        <w:trPr>
          <w:tblHeader/>
        </w:trPr>
        <w:tc>
          <w:tcPr>
            <w:tcW w:type="dxa" w:w="1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Chemical / Practice</w:t>
            </w:r>
          </w:p>
        </w:tc>
        <w:tc>
          <w:tcPr>
            <w:tcW w:type="dxa" w:w="17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BLM Land Status</w:t>
            </w:r>
          </w:p>
        </w:tc>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Known Health / Ecological Risks</w:t>
            </w:r>
          </w:p>
        </w:tc>
        <w:tc>
          <w:tcPr>
            <w:tcW w:type="dxa" w:w="16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Industry Position</w:t>
            </w:r>
          </w:p>
        </w:tc>
        <w:tc>
          <w:tcPr>
            <w:tcW w:type="dxa" w:w="22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Independent Science</w:t>
            </w:r>
          </w:p>
        </w:tc>
      </w:tr>
      <w:tr>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Glyphosate (Roundup)</w:t>
            </w:r>
          </w:p>
        </w:tc>
        <w:tc>
          <w:tcPr>
            <w:tcW w:type="dxa" w:w="17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Approved; expanded under 2025–26 EOs</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WHO IARC Group 2A probable carcinogen. Aquatic toxicity. Mycorrhizal fungal network disruption.</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"Safe when used as directed"</w:t>
            </w:r>
          </w:p>
        </w:tc>
        <w:tc>
          <w:tcPr>
            <w:tcW w:type="dxa" w:w="22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Independent meta-analyses show non-Hodgkin lymphoma risk; soil microbiome disruption documented.</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Atrazine</w:t>
            </w:r>
          </w:p>
        </w:tc>
        <w:tc>
          <w:tcPr>
            <w:tcW w:type="dxa" w:w="17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Approved for forestry</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Endocrine disruptor. Detected in Oregon groundwater. Affects amphibian reproduction at low concentrations.</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"EPA-approved"</w:t>
            </w:r>
          </w:p>
        </w:tc>
        <w:tc>
          <w:tcPr>
            <w:tcW w:type="dxa" w:w="22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Banned in European Union. Documented endocrine disruption in peer-reviewed literature.</w:t>
            </w:r>
          </w:p>
        </w:tc>
      </w:tr>
      <w:tr>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2,4-D</w:t>
            </w:r>
          </w:p>
        </w:tc>
        <w:tc>
          <w:tcPr>
            <w:tcW w:type="dxa" w:w="17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Approved; component of many forestry mixes</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Possible carcinogen. Drift risk to non-target plants. Toxic to fish at higher concentrations.</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"Long safety record"</w:t>
            </w:r>
          </w:p>
        </w:tc>
        <w:tc>
          <w:tcPr>
            <w:tcW w:type="dxa" w:w="22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Related compound to 2,4,5-T (Agent Orange). Drift and off-target impacts documented in application studies.</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Aerial Spraying (west of Cascades)</w:t>
            </w:r>
          </w:p>
        </w:tc>
        <w:tc>
          <w:tcPr>
            <w:tcW w:type="dxa" w:w="17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Restricted post-Alsea on federal lands; private lands still allowed</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Broad-spectrum kill of rare plants; stream contamination; community exposure without notice.</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"Efficient vegetation management"</w:t>
            </w:r>
          </w:p>
        </w:tc>
        <w:tc>
          <w:tcPr>
            <w:tcW w:type="dxa" w:w="22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Van Strum research; Alsea lawsuit findings. Restrictions exist for documented reasons. Expansion would reopen settled harms.</w:t>
            </w:r>
          </w:p>
        </w:tc>
      </w:tr>
      <w:tr>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Slash Pile Burning</w:t>
            </w:r>
          </w:p>
        </w:tc>
        <w:tc>
          <w:tcPr>
            <w:tcW w:type="dxa" w:w="17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Ongoing routine practice</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PM2.5 and PM10 particulate emissions; CO, NOx, VOCs. Documented air quality violations in Lincoln County airshed.</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"Essential fuel reduction"</w:t>
            </w:r>
          </w:p>
        </w:tc>
        <w:tc>
          <w:tcPr>
            <w:tcW w:type="dxa" w:w="22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Oregon DEQ monitoring data documents health impacts. Escape risk in clearcut wind tunnels. EIS must model at proposed scale.</w:t>
            </w:r>
          </w:p>
        </w:tc>
      </w:tr>
    </w:tbl>
    <w:p>
      <w:r>
        <w:br w:type="page"/>
      </w:r>
    </w:p>
    <w:p>
      <w:pPr>
        <w:pStyle w:val="Heading1"/>
        <w:pBdr>
          <w:bottom w:val="single" w:color="40916C" w:sz="10" w:space="4"/>
        </w:pBdr>
        <w:spacing w:before="340" w:after="160"/>
        <w:jc w:val="left"/>
      </w:pPr>
      <w:r>
        <w:rPr>
          <w:rFonts w:ascii="Arial" w:cs="Arial" w:eastAsia="Arial" w:hAnsi="Arial"/>
          <w:b/>
          <w:bCs/>
          <w:i w:val="false"/>
          <w:iCs w:val="false"/>
          <w:color w:val="1A3D2B"/>
          <w:sz w:val="30"/>
          <w:szCs w:val="30"/>
        </w:rPr>
        <w:t xml:space="preserve">Section 5 — O&amp;C Act History: What It Actually Was</w:t>
      </w:r>
    </w:p>
    <w:p>
      <w:pPr>
        <w:spacing w:before="80" w:after="80"/>
        <w:jc w:val="left"/>
      </w:pPr>
      <w:r>
        <w:rPr>
          <w:rFonts w:ascii="Arial" w:cs="Arial" w:eastAsia="Arial" w:hAnsi="Arial"/>
          <w:b w:val="false"/>
          <w:bCs w:val="false"/>
          <w:i w:val="false"/>
          <w:iCs w:val="false"/>
          <w:color w:val="1C1A16"/>
          <w:sz w:val="22"/>
          <w:szCs w:val="22"/>
        </w:rPr>
        <w:t xml:space="preserve">Historical context versus the industry narrative. The O&amp;C Act was not created as a permanent maximum-harvest mandate — it was a temporary subsidy to compensate counties for lost property tax revenue. Understanding this history is essential to evaluating the BLM's current justification.</w:t>
      </w:r>
    </w:p>
    <w:p>
      <w:pPr>
        <w:pBdr>
          <w:top w:val="single" w:color="40916C" w:sz="8"/>
          <w:left w:val="single" w:color="40916C" w:sz="18"/>
          <w:right w:val="single" w:color="40916C" w:sz="4"/>
        </w:pBdr>
        <w:shd w:fill="EEF7F3" w:val="clear"/>
        <w:spacing w:before="200" w:after="0"/>
        <w:ind w:left="180" w:right="180"/>
        <w:jc w:val="left"/>
      </w:pPr>
      <w:r>
        <w:rPr>
          <w:rFonts w:ascii="Arial" w:cs="Arial" w:eastAsia="Arial" w:hAnsi="Arial"/>
          <w:b/>
          <w:bCs/>
          <w:i w:val="false"/>
          <w:iCs w:val="false"/>
          <w:color w:val="1A3D2B"/>
          <w:sz w:val="23"/>
          <w:szCs w:val="23"/>
        </w:rPr>
        <w:t xml:space="preserve">Historical Truth: A Temporary Tax Revenue Substitute, Not a Permanent Harvest Mandate</w:t>
      </w:r>
    </w:p>
    <w:p>
      <w:pPr>
        <w:pBdr>
          <w:bottom w:val="single" w:color="40916C" w:sz="8"/>
          <w:left w:val="single" w:color="40916C" w:sz="18"/>
          <w:right w:val="single" w:color="40916C" w:sz="4"/>
        </w:pBdr>
        <w:shd w:fill="EEF7F3" w:val="clear"/>
        <w:spacing w:before="0" w:after="200"/>
        <w:ind w:left="180" w:right="180"/>
        <w:jc w:val="left"/>
      </w:pPr>
      <w:r>
        <w:rPr>
          <w:rFonts w:ascii="Arial" w:cs="Arial" w:eastAsia="Arial" w:hAnsi="Arial"/>
          <w:b w:val="false"/>
          <w:bCs w:val="false"/>
          <w:i w:val="false"/>
          <w:iCs w:val="false"/>
          <w:color w:val="1C1A16"/>
          <w:sz w:val="21"/>
          <w:szCs w:val="21"/>
        </w:rPr>
        <w:t xml:space="preserve">The O&amp;C Act of 1937 was a compromise to compensate counties for lost property tax revenue after the federal government reclaimed 'checkerboarded' railroad grant lands. It was a practical revenue-sharing workaround — not a permanent Congressional expression of intent to maximize timber harvest regardless of ecological, legal, or economic conditions. It was never intended to be permanent, and the conditions that justified it in 1937 no longer exist.</w:t>
      </w:r>
    </w:p>
    <w:p>
      <w:pPr>
        <w:spacing w:before="16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O&amp;C Act Legislative History: What the Record Actually Shows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000"/>
        <w:gridCol w:w="2960"/>
      </w:tblGrid>
      <w:tr>
        <w:trPr>
          <w:tblHeader/>
        </w:trPr>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Year / Event</w:t>
            </w:r>
          </w:p>
        </w:tc>
        <w:tc>
          <w:tcPr>
            <w:tcW w:type="dxa" w:w="24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What Happened</w:t>
            </w:r>
          </w:p>
        </w:tc>
        <w:tc>
          <w:tcPr>
            <w:tcW w:type="dxa" w:w="20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Industry Claims</w:t>
            </w:r>
          </w:p>
        </w:tc>
        <w:tc>
          <w:tcPr>
            <w:tcW w:type="dxa" w:w="29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What the Record Actually Shows</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1866–1869 — Railroad Land Grant</w:t>
            </w:r>
          </w:p>
        </w:tc>
        <w:tc>
          <w:tcPr>
            <w:tcW w:type="dxa" w:w="2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Congress grants Oregon &amp; California Railroad 3.7M acres in checkerboard pattern to build rail line through western Oregon.</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"O&amp;C lands were always meant for timber production."</w:t>
            </w:r>
          </w:p>
        </w:tc>
        <w:tc>
          <w:tcPr>
            <w:tcW w:type="dxa" w:w="2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Grant was for railroad development, not timber. Counties immediately began collecting property taxes on these private lands.</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1916 — Chamberlain-Ferris Act</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Federal government revests the railroad lands after the O&amp;C Railroad fails to comply with grant conditions (required selling to settlers at $2.50/acre).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Glossed over in industry narrative.</w:t>
            </w:r>
          </w:p>
        </w:tc>
        <w:tc>
          <w:tcPr>
            <w:tcW w:type="dxa" w:w="2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Federal revestment eliminated county property tax base — creating the revenue problem the O&amp;C Act later tried to address. This is the origin of the problem.</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1937 — O&amp;C Act</w:t>
            </w:r>
          </w:p>
        </w:tc>
        <w:tc>
          <w:tcPr>
            <w:tcW w:type="dxa" w:w="2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Congress creates sustained-yield timber program with 50% county revenue sharing to replace lost property taxes.</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"A permanent Congressional mandate for maximum timber harvest at historically high levels."</w:t>
            </w:r>
          </w:p>
        </w:tc>
        <w:tc>
          <w:tcPr>
            <w:tcW w:type="dxa" w:w="2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40916C"/>
                <w:sz w:val="20"/>
                <w:szCs w:val="20"/>
              </w:rPr>
              <w:t xml:space="preserve">Legislative history shows it was a SUBSIDY to compensate counties for lost property taxes — a workaround, not a permanent management philosophy. Not meant to last forever.</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1944 — Sustained Yield Forest Management Act</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Broadens the sustained-yield concept across federal lands.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"Confirms the maximum harvest mandate."</w:t>
            </w:r>
          </w:p>
        </w:tc>
        <w:tc>
          <w:tcPr>
            <w:tcW w:type="dxa" w:w="2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Sustained yield means INDEFINITELY MAINTAINABLE yield — not maximum yield. The two are legally and ecologically distinct. Industry has conflated them for 80 years.</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1976 — FLPMA</w:t>
            </w:r>
          </w:p>
        </w:tc>
        <w:tc>
          <w:tcPr>
            <w:tcW w:type="dxa" w:w="2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Federal Land Policy and Management Act establishes multiple-use, sustained-yield as BLM standard for all public lands.</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"Doesn't apply to O&amp;C lands."</w:t>
            </w:r>
          </w:p>
        </w:tc>
        <w:tc>
          <w:tcPr>
            <w:tcW w:type="dxa" w:w="2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FLPMA applies to non-O&amp;C BLM lands in the same planning area; multiple-use values are legally present regardless of O&amp;C Act timber emphasis.</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1994 — Northwest Forest Plan (NWFP)</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Interagency plan sharply reduces harvest to address ESA conflicts for Spotted Owl and Murrelet.</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"Illegal overreach destroying rural economies."</w:t>
            </w:r>
          </w:p>
        </w:tc>
        <w:tc>
          <w:tcPr>
            <w:tcW w:type="dxa" w:w="2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40916C"/>
                <w:sz w:val="20"/>
                <w:szCs w:val="20"/>
              </w:rPr>
              <w:t xml:space="preserve">Courts upheld NWFP as legally required under ESA. Revenue replaced (imperfectly) by Secure Rural Schools Act (2000).</w:t>
            </w:r>
          </w:p>
        </w:tc>
      </w:tr>
      <w:tr>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2026 — Big Beautiful Bill + Proposed RMP</w:t>
            </w:r>
          </w:p>
        </w:tc>
        <w:tc>
          <w:tcPr>
            <w:tcW w:type="dxa" w:w="2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BBB redirects timber revenue to federal government; BLM proposes maximum harvest RMP citing county revenue restoration.</w:t>
            </w:r>
          </w:p>
        </w:tc>
        <w:tc>
          <w:tcPr>
            <w:tcW w:type="dxa" w:w="20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"Will restore county revenues."</w:t>
            </w:r>
          </w:p>
        </w:tc>
        <w:tc>
          <w:tcPr>
            <w:tcW w:type="dxa" w:w="29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BBB legally undermines the county revenue argument. The proposed plan maximizes federal timber revenue, not county revenue. The AOCC has not reconciled this contradiction.</w:t>
            </w:r>
          </w:p>
        </w:tc>
      </w:tr>
    </w:tbl>
    <w:p>
      <w:pPr>
        <w:spacing w:before="200" w:after="0"/>
        <w:jc w:val="left"/>
      </w:pPr>
      <w:r>
        <w:rPr>
          <w:rFonts w:ascii="Arial" w:cs="Arial" w:eastAsia="Arial" w:hAnsi="Arial"/>
          <w:b w:val="false"/>
          <w:bCs w:val="false"/>
          <w:i w:val="false"/>
          <w:iCs w:val="false"/>
          <w:color w:val="1C1A16"/>
          <w:sz w:val="22"/>
          <w:szCs w:val="22"/>
        </w:rPr>
        <w:t xml:space="preserve"/>
      </w:r>
    </w:p>
    <w:p>
      <w:pPr>
        <w:pStyle w:val="Heading2"/>
        <w:spacing w:before="260" w:after="120"/>
        <w:jc w:val="left"/>
      </w:pPr>
      <w:r>
        <w:rPr>
          <w:rFonts w:ascii="Arial" w:cs="Arial" w:eastAsia="Arial" w:hAnsi="Arial"/>
          <w:b/>
          <w:bCs/>
          <w:i w:val="false"/>
          <w:iCs w:val="false"/>
          <w:color w:val="2D6A4F"/>
          <w:sz w:val="25"/>
          <w:szCs w:val="25"/>
        </w:rPr>
        <w:t xml:space="preserve">Recreation Economy vs. Timber Revenue: Lincoln County Context</w:t>
      </w:r>
    </w:p>
    <w:p>
      <w:pPr>
        <w:spacing w:before="80" w:after="80"/>
        <w:jc w:val="left"/>
      </w:pPr>
      <w:r>
        <w:rPr>
          <w:rFonts w:ascii="Arial" w:cs="Arial" w:eastAsia="Arial" w:hAnsi="Arial"/>
          <w:b w:val="false"/>
          <w:bCs w:val="false"/>
          <w:i w:val="false"/>
          <w:iCs w:val="false"/>
          <w:color w:val="1C1A16"/>
          <w:sz w:val="22"/>
          <w:szCs w:val="22"/>
        </w:rPr>
        <w:t xml:space="preserve">Annual economic value comparison demonstrating that the coastal recreation and tourism economy substantially exceeds any realistic county timber revenue scenario, especially after the Big Beautiful Bill's revenue redirection.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2200"/>
        <w:gridCol w:w="1800"/>
        <w:gridCol w:w="1360"/>
      </w:tblGrid>
      <w:tr>
        <w:trPr>
          <w:tblHeader/>
        </w:trPr>
        <w:tc>
          <w:tcPr>
            <w:tcW w:type="dxa" w:w="24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Economic Activity</w:t>
            </w:r>
          </w:p>
        </w:tc>
        <w:tc>
          <w:tcPr>
            <w:tcW w:type="dxa" w:w="16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Annual Value</w:t>
            </w:r>
          </w:p>
        </w:tc>
        <w:tc>
          <w:tcPr>
            <w:tcW w:type="dxa" w:w="22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Beneficiary</w:t>
            </w:r>
          </w:p>
        </w:tc>
        <w:tc>
          <w:tcPr>
            <w:tcW w:type="dxa" w:w="180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Timber Harvest Dependency</w:t>
            </w:r>
          </w:p>
        </w:tc>
        <w:tc>
          <w:tcPr>
            <w:tcW w:type="dxa" w:w="1360"/>
            <w:tcBorders>
              <w:top w:val="single" w:color="CCCCCC" w:sz="4"/>
              <w:left w:val="single" w:color="CCCCCC" w:sz="4"/>
              <w:bottom w:val="single" w:color="CCCCCC" w:sz="4"/>
              <w:right w:val="single" w:color="CCCCCC" w:sz="4"/>
            </w:tcBorders>
            <w:shd w:fill="1A3D2B"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FFFFFF"/>
                <w:sz w:val="19"/>
                <w:szCs w:val="19"/>
              </w:rPr>
              <w:t xml:space="preserve">Sensitivity to Clearcut Operations</w:t>
            </w:r>
          </w:p>
        </w:tc>
      </w:tr>
      <w:tr>
        <w:tc>
          <w:tcPr>
            <w:tcW w:type="dxa" w:w="2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1C1A16"/>
                <w:sz w:val="20"/>
                <w:szCs w:val="20"/>
              </w:rPr>
              <w:t xml:space="preserve">Oregon Coast Tourism (Lincoln Co. region)</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40916C"/>
                <w:sz w:val="20"/>
                <w:szCs w:val="20"/>
              </w:rPr>
              <w:t xml:space="preserve">$820M+ annually</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Local businesses, lodging, restaurants, recreation operators</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None — harmed by large-scale harvest operations</w:t>
            </w:r>
          </w:p>
        </w:tc>
        <w:tc>
          <w:tcPr>
            <w:tcW w:type="dxa" w:w="1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HIGH — scenic values, clean water, intact forest critical to tourist appeal</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Recreational Fishing (Alsea River, coastal streams)</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$50–80M annually (est.)</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Charter operators, guides, tackle shops, lodging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NEGATIVE — salmon depend on old-growth riparian forest</w:t>
            </w:r>
          </w:p>
        </w:tc>
        <w:tc>
          <w:tcPr>
            <w:tcW w:type="dxa" w:w="1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VERY HIGH — stream temperature and sedimentation from harvest directly damages salmon runs</w:t>
            </w:r>
          </w:p>
        </w:tc>
      </w:tr>
      <w:tr>
        <w:tc>
          <w:tcPr>
            <w:tcW w:type="dxa" w:w="2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Vacation Rental Economy (Waldport, Seal Rock, Newport)</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$40–65M annually (est.)</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Property owners, management companies, local services</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None — scenic and ecological values drive demand</w:t>
            </w:r>
          </w:p>
        </w:tc>
        <w:tc>
          <w:tcPr>
            <w:tcW w:type="dxa" w:w="1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HIGH — aerial proximity of clearcuts damages rental values and occupancy rates</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Realistic O&amp;C County Payment (all 18 counties, post-BBB)</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~$27M annually</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44B1A"/>
                <w:sz w:val="20"/>
                <w:szCs w:val="20"/>
              </w:rPr>
              <w:t xml:space="preserve">18 counties split; BBB redirects future gains to federal government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Dependent on harvest levels</w:t>
            </w:r>
          </w:p>
        </w:tc>
        <w:tc>
          <w:tcPr>
            <w:tcW w:type="dxa" w:w="1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before="40" w:after="40"/>
              <w:jc w:val="left"/>
            </w:pPr>
            <w:r>
              <w:rPr>
                <w:rFonts w:ascii="Arial" w:cs="Arial" w:eastAsia="Arial" w:hAnsi="Arial"/>
                <w:b/>
                <w:bCs/>
                <w:i w:val="false"/>
                <w:iCs w:val="false"/>
                <w:color w:val="C44B1A"/>
                <w:sz w:val="20"/>
                <w:szCs w:val="20"/>
              </w:rPr>
              <w:t xml:space="preserve">BBB has already captured the upside — counties will not see revenue from proposed harvest increase</w:t>
            </w:r>
          </w:p>
        </w:tc>
      </w:tr>
      <w:tr>
        <w:tc>
          <w:tcPr>
            <w:tcW w:type="dxa" w:w="24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Timber Employment (local wages, all sectors)</w:t>
            </w:r>
          </w:p>
        </w:tc>
        <w:tc>
          <w:tcPr>
            <w:tcW w:type="dxa" w:w="16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~$85M in wages (est.)</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~1,500–2,000 workers; many not local residents</w:t>
            </w:r>
          </w:p>
        </w:tc>
        <w:tc>
          <w:tcPr>
            <w:tcW w:type="dxa" w:w="18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1C1A16"/>
                <w:sz w:val="20"/>
                <w:szCs w:val="20"/>
              </w:rPr>
              <w:t xml:space="preserve">Directly dependent</w:t>
            </w:r>
          </w:p>
        </w:tc>
        <w:tc>
          <w:tcPr>
            <w:tcW w:type="dxa" w:w="136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pPr>
              <w:spacing w:before="40" w:after="40"/>
              <w:jc w:val="left"/>
            </w:pPr>
            <w:r>
              <w:rPr>
                <w:rFonts w:ascii="Arial" w:cs="Arial" w:eastAsia="Arial" w:hAnsi="Arial"/>
                <w:b w:val="false"/>
                <w:bCs w:val="false"/>
                <w:i w:val="false"/>
                <w:iCs w:val="false"/>
                <w:color w:val="C89B3C"/>
                <w:sz w:val="20"/>
                <w:szCs w:val="20"/>
              </w:rPr>
              <w:t xml:space="preserve">LOW sensitivity — automation means employment does not scale with harvest volume</w:t>
            </w:r>
          </w:p>
        </w:tc>
      </w:tr>
    </w:tbl>
    <w:p>
      <w:r>
        <w:br w:type="page"/>
      </w:r>
    </w:p>
    <w:p>
      <w:pPr>
        <w:pStyle w:val="Heading1"/>
        <w:pBdr>
          <w:bottom w:val="single" w:color="40916C" w:sz="10" w:space="4"/>
        </w:pBdr>
        <w:spacing w:before="340" w:after="160"/>
        <w:jc w:val="left"/>
      </w:pPr>
      <w:r>
        <w:rPr>
          <w:rFonts w:ascii="Arial" w:cs="Arial" w:eastAsia="Arial" w:hAnsi="Arial"/>
          <w:b/>
          <w:bCs/>
          <w:i w:val="false"/>
          <w:iCs w:val="false"/>
          <w:color w:val="1A3D2B"/>
          <w:sz w:val="30"/>
          <w:szCs w:val="30"/>
        </w:rPr>
        <w:t xml:space="preserve">Section 6 — Formal BLM Scoping Comment Text</w:t>
      </w:r>
    </w:p>
    <w:p>
      <w:pPr>
        <w:spacing w:before="80" w:after="80"/>
        <w:jc w:val="left"/>
      </w:pPr>
      <w:r>
        <w:rPr>
          <w:rFonts w:ascii="Arial" w:cs="Arial" w:eastAsia="Arial" w:hAnsi="Arial"/>
          <w:b w:val="false"/>
          <w:bCs w:val="false"/>
          <w:i w:val="false"/>
          <w:iCs w:val="false"/>
          <w:color w:val="1C1A16"/>
          <w:sz w:val="22"/>
          <w:szCs w:val="22"/>
        </w:rPr>
        <w:t xml:space="preserve">Ready-to-submit comment text for the BLM scoping process. Personalize with your name, address, and specific local details before submitting. Submit all sections together as a single comment by March 23, 2026.</w:t>
      </w:r>
    </w:p>
    <w:p>
      <w:pPr>
        <w:pBdr>
          <w:top w:val="single" w:color="C44B1A" w:sz="8"/>
          <w:left w:val="single" w:color="C44B1A" w:sz="18"/>
          <w:right w:val="single" w:color="C44B1A" w:sz="4"/>
        </w:pBdr>
        <w:shd w:fill="FFF0EE" w:val="clear"/>
        <w:spacing w:before="200" w:after="0"/>
        <w:ind w:left="180" w:right="180"/>
        <w:jc w:val="left"/>
      </w:pPr>
      <w:r>
        <w:rPr>
          <w:rFonts w:ascii="Arial" w:cs="Arial" w:eastAsia="Arial" w:hAnsi="Arial"/>
          <w:b/>
          <w:bCs/>
          <w:i w:val="false"/>
          <w:iCs w:val="false"/>
          <w:color w:val="7B0000"/>
          <w:sz w:val="23"/>
          <w:szCs w:val="23"/>
        </w:rPr>
        <w:t xml:space="preserve">⚠  DEADLINE: MARCH 23, 2026 — IMMEDIATE ACTION REQUIRED</w:t>
      </w:r>
    </w:p>
    <w:p>
      <w:pPr>
        <w:pBdr>
          <w:left w:val="single" w:color="C44B1A" w:sz="18"/>
          <w:right w:val="single" w:color="C44B1A" w:sz="4"/>
        </w:pBdr>
        <w:shd w:fill="FFF0EE" w:val="clear"/>
        <w:spacing w:before="0" w:after="0"/>
        <w:ind w:left="180" w:right="180"/>
        <w:jc w:val="left"/>
      </w:pPr>
      <w:r>
        <w:rPr>
          <w:rFonts w:ascii="Arial" w:cs="Arial" w:eastAsia="Arial" w:hAnsi="Arial"/>
          <w:b w:val="false"/>
          <w:bCs w:val="false"/>
          <w:i w:val="false"/>
          <w:iCs w:val="false"/>
          <w:color w:val="1C1A16"/>
          <w:sz w:val="21"/>
          <w:szCs w:val="21"/>
        </w:rPr>
        <w:t xml:space="preserve">Online: https://eplanning.blm.gov — Project No. DOI-BLM-ORWA-0000-2026-0001-RMP-EIS</w:t>
      </w:r>
    </w:p>
    <w:p>
      <w:pPr>
        <w:pBdr>
          <w:left w:val="single" w:color="C44B1A" w:sz="18"/>
          <w:right w:val="single" w:color="C44B1A" w:sz="4"/>
        </w:pBdr>
        <w:shd w:fill="FFF0EE" w:val="clear"/>
        <w:spacing w:before="0" w:after="0"/>
        <w:ind w:left="180" w:right="180"/>
        <w:jc w:val="left"/>
      </w:pPr>
      <w:r>
        <w:rPr>
          <w:rFonts w:ascii="Arial" w:cs="Arial" w:eastAsia="Arial" w:hAnsi="Arial"/>
          <w:b w:val="false"/>
          <w:bCs w:val="false"/>
          <w:i w:val="false"/>
          <w:iCs w:val="false"/>
          <w:color w:val="1C1A16"/>
          <w:sz w:val="21"/>
          <w:szCs w:val="21"/>
        </w:rPr>
        <w:t xml:space="preserve">Email: BLM_OR_Revision_Scoping@blm.gov</w:t>
      </w:r>
    </w:p>
    <w:p>
      <w:pPr>
        <w:pBdr>
          <w:bottom w:val="single" w:color="C44B1A" w:sz="8"/>
          <w:left w:val="single" w:color="C44B1A" w:sz="18"/>
          <w:right w:val="single" w:color="C44B1A" w:sz="4"/>
        </w:pBdr>
        <w:shd w:fill="FFF0EE" w:val="clear"/>
        <w:spacing w:before="0" w:after="200"/>
        <w:ind w:left="180" w:right="180"/>
        <w:jc w:val="left"/>
      </w:pPr>
      <w:r>
        <w:rPr>
          <w:rFonts w:ascii="Arial" w:cs="Arial" w:eastAsia="Arial" w:hAnsi="Arial"/>
          <w:b w:val="false"/>
          <w:bCs w:val="false"/>
          <w:i w:val="false"/>
          <w:iCs w:val="false"/>
          <w:color w:val="1C1A16"/>
          <w:sz w:val="21"/>
          <w:szCs w:val="21"/>
        </w:rPr>
        <w:t xml:space="preserve">Mail (certified): BLM OR930, 1220 SW 3rd Ave, Portland, OR 97204</w:t>
      </w:r>
    </w:p>
    <w:p>
      <w:pPr>
        <w:spacing w:before="160" w:after="0"/>
        <w:jc w:val="left"/>
      </w:pPr>
      <w:r>
        <w:rPr>
          <w:rFonts w:ascii="Arial" w:cs="Arial" w:eastAsia="Arial" w:hAnsi="Arial"/>
          <w:b w:val="false"/>
          <w:bCs w:val="false"/>
          <w:i w:val="false"/>
          <w:iCs w:val="false"/>
          <w:color w:val="1C1A16"/>
          <w:sz w:val="22"/>
          <w:szCs w:val="22"/>
        </w:rPr>
        <w:t xml:space="preserve"/>
      </w:r>
    </w:p>
    <w:p>
      <w:pPr>
        <w:pBdr>
          <w:top w:val="single" w:color="1A3D2B" w:sz="8"/>
          <w:left w:val="single" w:color="1A3D2B" w:sz="8"/>
          <w:right w:val="single" w:color="1A3D2B" w:sz="8"/>
        </w:pBdr>
        <w:shd w:fill="1A3D2B" w:val="clear"/>
        <w:spacing w:before="200" w:after="0"/>
        <w:ind w:left="180" w:right="180"/>
        <w:jc w:val="left"/>
      </w:pPr>
      <w:r>
        <w:rPr>
          <w:rFonts w:ascii="Arial" w:cs="Arial" w:eastAsia="Arial" w:hAnsi="Arial"/>
          <w:b/>
          <w:bCs/>
          <w:i w:val="false"/>
          <w:iCs w:val="false"/>
          <w:color w:val="FFFFFF"/>
          <w:sz w:val="22"/>
          <w:szCs w:val="22"/>
        </w:rPr>
        <w:t xml:space="preserve">COMMENT SECTION 1: County Economic Justification Is Factually Unsupported</w:t>
      </w:r>
    </w:p>
    <w:p>
      <w:pPr>
        <w:pBdr>
          <w:left w:val="single" w:color="1A3D2B" w:sz="8"/>
          <w:right w:val="single" w:color="1A3D2B" w:sz="8"/>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I am a resident of [Seal Rock / Waldport / Lincoln County] writing in formal opposition to the stated economic justifications for the proposed Northwestern and Coastal Oregon / Southwestern Oregon Resource Management Plan (RMP) revision. I submit these comments for the formal record under the National Environmental Policy Act (NEPA) scoping process.</w:t>
      </w:r>
    </w:p>
    <w:p>
      <w:pPr>
        <w:pBdr>
          <w:left w:val="single" w:color="1A3D2B" w:sz="8"/>
          <w:right w:val="single" w:color="1A3D2B" w:sz="8"/>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The Big Beautiful Bill Undermines the County Revenue Argument. The administration's own legislation — the Big Beautiful Bill, signed July 4, 2026 — redirects future federal timber sale revenues to the federal government rather than to counties and states. The BLM cannot simultaneously claim this RMP revision will restore county revenue while the administration has legislatively redirected that revenue stream. This contradiction must be analyzed and disclosed in the Environmental Impact Statement (EIS).</w:t>
      </w:r>
    </w:p>
    <w:p>
      <w:pPr>
        <w:pBdr>
          <w:left w:val="single" w:color="1A3D2B" w:sz="8"/>
          <w:right w:val="single" w:color="1A3D2B" w:sz="8"/>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Automation Eliminated Timber Jobs — Not Environmental Regulation. Oregon timber employment fell from 72,000 workers in 1990 to under 30,000 by 2020 while harvest volumes fluctuated. The primary driver was mechanization. A single feller-buncher replaces 8–12 workers. Doubling harvest will not double employment. The EIS must model actual employment projections using realistic mechanization rates, not gross volume assumptions that assume 1960s labor intensity.</w:t>
      </w:r>
    </w:p>
    <w:p>
      <w:pPr>
        <w:pBdr>
          <w:left w:val="single" w:color="1A3D2B" w:sz="8"/>
          <w:right w:val="single" w:color="1A3D2B" w:sz="8"/>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H-2B Visa Labor Dependency. Manual reforestation, brush control, and site preparation labor now depends 60–80% on H-2B seasonal visa workers. Under current immigration enforcement priorities, this workforce faces severe disruption. The EIS must analyze who would perform expanded reforestation labor and at what wage — and must not assume local job creation benefits the data does not support.</w:t>
      </w:r>
    </w:p>
    <w:p>
      <w:pPr>
        <w:pBdr>
          <w:bottom w:val="single" w:color="1A3D2B" w:sz="8"/>
          <w:left w:val="single" w:color="1A3D2B" w:sz="8"/>
          <w:right w:val="single" w:color="1A3D2B" w:sz="8"/>
        </w:pBdr>
        <w:shd w:fill="F8FFFE" w:val="clear"/>
        <w:spacing w:before="0" w:after="200"/>
        <w:ind w:left="180" w:right="180"/>
        <w:jc w:val="left"/>
      </w:pPr>
      <w:r>
        <w:rPr>
          <w:rFonts w:ascii="Arial" w:cs="Arial" w:eastAsia="Arial" w:hAnsi="Arial"/>
          <w:b w:val="false"/>
          <w:bCs w:val="false"/>
          <w:i w:val="false"/>
          <w:iCs w:val="false"/>
          <w:color w:val="1C1A16"/>
          <w:sz w:val="21"/>
          <w:szCs w:val="21"/>
        </w:rPr>
        <w:t xml:space="preserve">Recreation Economy Substantially Exceeds Timber Revenue. Oregon Coast tourism generates over $800 million annually in Lincoln County and surrounding communities. Recreational fishing in Alsea River and coastal streams depends directly on old-growth riparian forest. The BLM must conduct a full comparative economic analysis — including recreation economy losses from harvest operations — not only timber revenue projections.</w:t>
      </w:r>
    </w:p>
    <w:p>
      <w:pPr>
        <w:spacing w:before="200" w:after="0"/>
        <w:jc w:val="left"/>
      </w:pPr>
      <w:r>
        <w:rPr>
          <w:rFonts w:ascii="Arial" w:cs="Arial" w:eastAsia="Arial" w:hAnsi="Arial"/>
          <w:b w:val="false"/>
          <w:bCs w:val="false"/>
          <w:i w:val="false"/>
          <w:iCs w:val="false"/>
          <w:color w:val="1C1A16"/>
          <w:sz w:val="22"/>
          <w:szCs w:val="22"/>
        </w:rPr>
        <w:t xml:space="preserve"/>
      </w:r>
    </w:p>
    <w:p>
      <w:pPr>
        <w:pBdr>
          <w:top w:val="single" w:color="CCCCCC" w:sz="4"/>
          <w:left w:val="single" w:color="CCCCCC" w:sz="4"/>
          <w:right w:val="single" w:color="CCCCCC" w:sz="4"/>
        </w:pBdr>
        <w:shd w:fill="1A3D2B" w:val="clear"/>
        <w:spacing w:before="200" w:after="0"/>
        <w:ind w:left="180" w:right="180"/>
        <w:jc w:val="left"/>
      </w:pPr>
      <w:r>
        <w:rPr>
          <w:rFonts w:ascii="Arial" w:cs="Arial" w:eastAsia="Arial" w:hAnsi="Arial"/>
          <w:b/>
          <w:bCs/>
          <w:i w:val="false"/>
          <w:iCs w:val="false"/>
          <w:color w:val="FFFFFF"/>
          <w:sz w:val="22"/>
          <w:szCs w:val="22"/>
        </w:rPr>
        <w:t xml:space="preserve">COMMENT SECTION 2: Wildfire Justification Contradicts Peer-Reviewed Science</w:t>
      </w:r>
    </w:p>
    <w:p>
      <w:pPr>
        <w:pBdr>
          <w:left w:val="single" w:color="CCCCCC" w:sz="4"/>
          <w:right w:val="single" w:color="CCCCCC" w:sz="4"/>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The BLM planning area is dominated by moist and wet forest types with natural fire resistance documented in peer-reviewed literature. Chuck Willer's Coast Range Association analysis demonstrates that these forest types do NOT require commercial thinning for fire resistance purposes. The EIS must engage directly with this analysis and must not apply fire management rationales developed for dry interior forests to the fundamentally different ecology of the Oregon Coast Range.</w:t>
      </w:r>
    </w:p>
    <w:p>
      <w:pPr>
        <w:pBdr>
          <w:left w:val="single" w:color="CCCCCC" w:sz="4"/>
          <w:right w:val="single" w:color="CCCCCC" w:sz="4"/>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Logged Areas Burn More Severely. Research by Hanson (2021), Rhodes &amp; Baker (2008), and DellaSalla &amp; Hanson (2019) demonstrates that recently logged areas burn more severely than intact mature or old-growth forest. The mechanisms are established: removal of fire-resistant trees; wind tunnel creation through loss of windbreak canopy; slash accumulation creating dense surface fuels; herbicide-killed broadleaf debris becoming dry fuel. The BLM's fire hazard argument inverts the peer-reviewed scientific evidence.</w:t>
      </w:r>
    </w:p>
    <w:p>
      <w:pPr>
        <w:pBdr>
          <w:left w:val="single" w:color="CCCCCC" w:sz="4"/>
          <w:right w:val="single" w:color="CCCCCC" w:sz="4"/>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Home Hardening Protects Structures — Not Logging. The Insurance Institute for Business and Home Safety (IBHS) documents that ember-resistant structural modifications are the most effective interventions for reducing structure loss in wildfire. The EIS should analyze community protection measures that do not require destroying old-growth habitat.</w:t>
      </w:r>
    </w:p>
    <w:p>
      <w:pPr>
        <w:pBdr>
          <w:bottom w:val="single" w:color="CCCCCC" w:sz="4"/>
          <w:left w:val="single" w:color="CCCCCC" w:sz="4"/>
          <w:right w:val="single" w:color="CCCCCC" w:sz="4"/>
        </w:pBdr>
        <w:shd w:fill="F8FFFE" w:val="clear"/>
        <w:spacing w:before="0" w:after="200"/>
        <w:ind w:left="180" w:right="180"/>
        <w:jc w:val="left"/>
      </w:pPr>
      <w:r>
        <w:rPr>
          <w:rFonts w:ascii="Arial" w:cs="Arial" w:eastAsia="Arial" w:hAnsi="Arial"/>
          <w:b w:val="false"/>
          <w:bCs w:val="false"/>
          <w:i w:val="false"/>
          <w:iCs w:val="false"/>
          <w:color w:val="1C1A16"/>
          <w:sz w:val="21"/>
          <w:szCs w:val="21"/>
        </w:rPr>
        <w:t xml:space="preserve">Key Research the EIS Must Cite and Engage: Hanson, C.T. (2021) The Myth of 'Catastrophic' Wildfire; DellaSalla, D.A. &amp; Hanson, C.T. (2019) The Ecological Importance of Mixed-Severity Fires (Elsevier); Rhodes, J.J. &amp; Baker, W.L. (2008) Open Forest Science Journal; Willer, C. — Coast Range Association NWFP submission on moist forest fire resistance.</w:t>
      </w:r>
    </w:p>
    <w:p>
      <w:pPr>
        <w:spacing w:before="200" w:after="0"/>
        <w:jc w:val="left"/>
      </w:pPr>
      <w:r>
        <w:rPr>
          <w:rFonts w:ascii="Arial" w:cs="Arial" w:eastAsia="Arial" w:hAnsi="Arial"/>
          <w:b w:val="false"/>
          <w:bCs w:val="false"/>
          <w:i w:val="false"/>
          <w:iCs w:val="false"/>
          <w:color w:val="1C1A16"/>
          <w:sz w:val="22"/>
          <w:szCs w:val="22"/>
        </w:rPr>
        <w:t xml:space="preserve"/>
      </w:r>
    </w:p>
    <w:p>
      <w:pPr>
        <w:pBdr>
          <w:top w:val="single" w:color="CCCCCC" w:sz="4"/>
          <w:left w:val="single" w:color="CCCCCC" w:sz="4"/>
          <w:right w:val="single" w:color="CCCCCC" w:sz="4"/>
        </w:pBdr>
        <w:shd w:fill="1A3D2B" w:val="clear"/>
        <w:spacing w:before="200" w:after="0"/>
        <w:ind w:left="180" w:right="180"/>
        <w:jc w:val="left"/>
      </w:pPr>
      <w:r>
        <w:rPr>
          <w:rFonts w:ascii="Arial" w:cs="Arial" w:eastAsia="Arial" w:hAnsi="Arial"/>
          <w:b/>
          <w:bCs/>
          <w:i w:val="false"/>
          <w:iCs w:val="false"/>
          <w:color w:val="FFFFFF"/>
          <w:sz w:val="22"/>
          <w:szCs w:val="22"/>
        </w:rPr>
        <w:t xml:space="preserve">COMMENT SECTION 3: Toxic Chemical Use Must Be Fully Evaluated</w:t>
      </w:r>
    </w:p>
    <w:p>
      <w:pPr>
        <w:pBdr>
          <w:left w:val="single" w:color="CCCCCC" w:sz="4"/>
          <w:right w:val="single" w:color="CCCCCC" w:sz="4"/>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The Alsea History Establishes a Community Right to Full Disclosure. Western Oregon communities have direct, documented, and legally adjudicated experience with the health consequences of aerial herbicide spraying on federal forest lands. The EPA suspension of 2,4,5-T (1979) and its cancellation (1985) followed from the Alsea miscarriage cluster documented by Carol Van Strum. The BLM has an obligation to engage directly with this history in its public health analysis. The documentary 'The People vs. Agent Orange' and Van Strum's 'A Bitter Fog' (1983) are part of the public record for this region.</w:t>
      </w:r>
    </w:p>
    <w:p>
      <w:pPr>
        <w:pBdr>
          <w:left w:val="single" w:color="CCCCCC" w:sz="4"/>
          <w:right w:val="single" w:color="CCCCCC" w:sz="4"/>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The 'Free to Grow' Requirement Drives Mass Herbicide Use. Oregon's Forest Practices Act requires replanted stands to reach 'free to grow' status within 4 years, driving mass glyphosate, atrazine, and 2,4-D application on every replanted clearcut. The EIS must evaluate alternatives to chemical vegetation management including longer rotations, mixed-species planting, and manual brushing that reduce herbicide dependence.</w:t>
      </w:r>
    </w:p>
    <w:p>
      <w:pPr>
        <w:pBdr>
          <w:bottom w:val="single" w:color="CCCCCC" w:sz="4"/>
          <w:left w:val="single" w:color="CCCCCC" w:sz="4"/>
          <w:right w:val="single" w:color="CCCCCC" w:sz="4"/>
        </w:pBdr>
        <w:shd w:fill="F8FFFE" w:val="clear"/>
        <w:spacing w:before="0" w:after="200"/>
        <w:ind w:left="180" w:right="180"/>
        <w:jc w:val="left"/>
      </w:pPr>
      <w:r>
        <w:rPr>
          <w:rFonts w:ascii="Arial" w:cs="Arial" w:eastAsia="Arial" w:hAnsi="Arial"/>
          <w:b w:val="false"/>
          <w:bCs w:val="false"/>
          <w:i w:val="false"/>
          <w:iCs w:val="false"/>
          <w:color w:val="1C1A16"/>
          <w:sz w:val="21"/>
          <w:szCs w:val="21"/>
        </w:rPr>
        <w:t xml:space="preserve">Current Executive Orders Increase Chemical Risk. Recent EOs have removed key restrictions on glyphosate and other herbicides and weakened EPA oversight. The WHO IARC classifies glyphosate as a Group 2A probable carcinogen; atrazine is an endocrine disruptor banned in the EU. The EIS must evaluate chemical risks under the current deregulated environment and must assess cumulative watershed, groundwater, and mycorrhizal network impacts at proposed harvest scales.</w:t>
      </w:r>
    </w:p>
    <w:p>
      <w:pPr>
        <w:spacing w:before="200" w:after="0"/>
        <w:jc w:val="left"/>
      </w:pPr>
      <w:r>
        <w:rPr>
          <w:rFonts w:ascii="Arial" w:cs="Arial" w:eastAsia="Arial" w:hAnsi="Arial"/>
          <w:b w:val="false"/>
          <w:bCs w:val="false"/>
          <w:i w:val="false"/>
          <w:iCs w:val="false"/>
          <w:color w:val="1C1A16"/>
          <w:sz w:val="22"/>
          <w:szCs w:val="22"/>
        </w:rPr>
        <w:t xml:space="preserve"/>
      </w:r>
    </w:p>
    <w:p>
      <w:pPr>
        <w:pBdr>
          <w:top w:val="single" w:color="CCCCCC" w:sz="4"/>
          <w:left w:val="single" w:color="CCCCCC" w:sz="4"/>
          <w:right w:val="single" w:color="CCCCCC" w:sz="4"/>
        </w:pBdr>
        <w:shd w:fill="1A3D2B" w:val="clear"/>
        <w:spacing w:before="200" w:after="0"/>
        <w:ind w:left="180" w:right="180"/>
        <w:jc w:val="left"/>
      </w:pPr>
      <w:r>
        <w:rPr>
          <w:rFonts w:ascii="Arial" w:cs="Arial" w:eastAsia="Arial" w:hAnsi="Arial"/>
          <w:b/>
          <w:bCs/>
          <w:i w:val="false"/>
          <w:iCs w:val="false"/>
          <w:color w:val="FFFFFF"/>
          <w:sz w:val="22"/>
          <w:szCs w:val="22"/>
        </w:rPr>
        <w:t xml:space="preserve">COMMENT SECTION 4: O&amp;C Act Historical Context and Legal Limitations</w:t>
      </w:r>
    </w:p>
    <w:p>
      <w:pPr>
        <w:pBdr>
          <w:left w:val="single" w:color="CCCCCC" w:sz="4"/>
          <w:right w:val="single" w:color="CCCCCC" w:sz="4"/>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The O&amp;C Act Was a Temporary Tax Revenue Substitute. The legislative history of the O&amp;C Act shows that Congress created the timber revenue-sharing program as a mechanism to compensate counties for property tax revenues lost when the federal government revested the Oregon and California Railroad grant lands beginning in 1916. It was a practical workaround for a specific revenue problem — not an expression of Congressional intent to permanently maximize timber harvest regardless of ecological, legal, or economic conditions. The revenue levels of the 1960s and 1970s were produced by one-time liquidation of old-growth forests that cannot be recreated without repeating the same liquidation.</w:t>
      </w:r>
    </w:p>
    <w:p>
      <w:pPr>
        <w:pBdr>
          <w:left w:val="single" w:color="CCCCCC" w:sz="4"/>
          <w:right w:val="single" w:color="CCCCCC" w:sz="4"/>
        </w:pBdr>
        <w:shd w:fill="F8FFFE" w:val="clear"/>
        <w:spacing w:before="0" w:after="0"/>
        <w:ind w:left="180" w:right="180"/>
        <w:jc w:val="left"/>
      </w:pPr>
      <w:r>
        <w:rPr>
          <w:rFonts w:ascii="Arial" w:cs="Arial" w:eastAsia="Arial" w:hAnsi="Arial"/>
          <w:b w:val="false"/>
          <w:bCs w:val="false"/>
          <w:i w:val="false"/>
          <w:iCs w:val="false"/>
          <w:color w:val="1C1A16"/>
          <w:sz w:val="21"/>
          <w:szCs w:val="21"/>
        </w:rPr>
        <w:t xml:space="preserve">ESA Imposes Binding Constraints. No court has found that the O&amp;C Act overrides an ESA Section 7 jeopardy finding. The Northern Spotted Owl, Marbled Murrelet, and Oregon Coast Coho Salmon remain listed. Any harvest increase must receive a non-jeopardy Biological Opinion from USFWS and NMFS. The BLM must disclose whether ESA Section 7 consultation has been formally initiated before proceeding with this planning effort.</w:t>
      </w:r>
    </w:p>
    <w:p>
      <w:pPr>
        <w:pBdr>
          <w:bottom w:val="single" w:color="CCCCCC" w:sz="4"/>
          <w:left w:val="single" w:color="CCCCCC" w:sz="4"/>
          <w:right w:val="single" w:color="CCCCCC" w:sz="4"/>
        </w:pBdr>
        <w:shd w:fill="F8FFFE" w:val="clear"/>
        <w:spacing w:before="0" w:after="200"/>
        <w:ind w:left="180" w:right="180"/>
        <w:jc w:val="left"/>
      </w:pPr>
      <w:r>
        <w:rPr>
          <w:rFonts w:ascii="Arial" w:cs="Arial" w:eastAsia="Arial" w:hAnsi="Arial"/>
          <w:b w:val="false"/>
          <w:bCs w:val="false"/>
          <w:i w:val="false"/>
          <w:iCs w:val="false"/>
          <w:color w:val="1C1A16"/>
          <w:sz w:val="21"/>
          <w:szCs w:val="21"/>
        </w:rPr>
        <w:t xml:space="preserve">HR 7603 (Bentz Bill) Would Remove Judicial Oversight. Representative Cliff Bentz's HR 7603 bill aims to codify maximum sustained-yield timber production as permanent dominant use of O&amp;C lands and to limit courts' ability to review BLM harvest decisions. The public interest in maintaining judicial oversight of federal land management — a fundamental principle of the Administrative Procedure Act (APA) — is directly at stake in this planning process and must be acknowledged in the EIS.</w:t>
      </w:r>
    </w:p>
    <w:p>
      <w:pPr>
        <w:spacing w:before="240" w:after="0"/>
        <w:jc w:val="left"/>
      </w:pPr>
      <w:r>
        <w:rPr>
          <w:rFonts w:ascii="Arial" w:cs="Arial" w:eastAsia="Arial" w:hAnsi="Arial"/>
          <w:b w:val="false"/>
          <w:bCs w:val="false"/>
          <w:i w:val="false"/>
          <w:iCs w:val="false"/>
          <w:color w:val="1C1A16"/>
          <w:sz w:val="22"/>
          <w:szCs w:val="22"/>
        </w:rPr>
        <w:t xml:space="preserve"/>
      </w:r>
    </w:p>
    <w:p>
      <w:pPr>
        <w:pBdr>
          <w:top w:val="single" w:color="40916C" w:sz="8"/>
          <w:left w:val="single" w:color="40916C" w:sz="18"/>
          <w:right w:val="single" w:color="40916C" w:sz="4"/>
        </w:pBdr>
        <w:shd w:fill="EEF7F3" w:val="clear"/>
        <w:spacing w:before="200" w:after="0"/>
        <w:ind w:left="180" w:right="180"/>
        <w:jc w:val="left"/>
      </w:pPr>
      <w:r>
        <w:rPr>
          <w:rFonts w:ascii="Arial" w:cs="Arial" w:eastAsia="Arial" w:hAnsi="Arial"/>
          <w:b/>
          <w:bCs/>
          <w:i w:val="false"/>
          <w:iCs w:val="false"/>
          <w:color w:val="1A3D2B"/>
          <w:sz w:val="23"/>
          <w:szCs w:val="23"/>
        </w:rPr>
        <w:t xml:space="preserve">Signature Block — Personalize Before Submitting</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Name: _______________________________________________</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Address: _______________________________________________</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City / State / Zip: _______________________________________________</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Email: _______________________________________________</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Date: _______________________________________________</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I am a [resident / property owner / business owner / recreational user] of Lincoln County, Oregon.</w:t>
      </w:r>
    </w:p>
    <w:p>
      <w:pPr>
        <w:pBdr>
          <w:left w:val="single" w:color="40916C" w:sz="18"/>
          <w:right w:val="single" w:color="40916C" w:sz="4"/>
        </w:pBdr>
        <w:shd w:fill="EEF7F3" w:val="clear"/>
        <w:spacing w:before="0" w:after="0"/>
        <w:ind w:left="180" w:right="180"/>
        <w:jc w:val="left"/>
      </w:pPr>
      <w:r>
        <w:rPr>
          <w:rFonts w:ascii="Arial" w:cs="Arial" w:eastAsia="Arial" w:hAnsi="Arial"/>
          <w:b w:val="false"/>
          <w:bCs w:val="false"/>
          <w:i w:val="false"/>
          <w:iCs w:val="false"/>
          <w:color w:val="1C1A16"/>
          <w:sz w:val="21"/>
          <w:szCs w:val="21"/>
        </w:rPr>
        <w:t xml:space="preserve">I use the following BLM/USFS lands for the following purposes:</w:t>
      </w:r>
    </w:p>
    <w:p>
      <w:pPr>
        <w:pBdr>
          <w:bottom w:val="single" w:color="40916C" w:sz="8"/>
          <w:left w:val="single" w:color="40916C" w:sz="18"/>
          <w:right w:val="single" w:color="40916C" w:sz="4"/>
        </w:pBdr>
        <w:shd w:fill="EEF7F3" w:val="clear"/>
        <w:spacing w:before="0" w:after="200"/>
        <w:ind w:left="180" w:right="180"/>
        <w:jc w:val="left"/>
      </w:pPr>
      <w:r>
        <w:rPr>
          <w:rFonts w:ascii="Arial" w:cs="Arial" w:eastAsia="Arial" w:hAnsi="Arial"/>
          <w:b w:val="false"/>
          <w:bCs w:val="false"/>
          <w:i w:val="false"/>
          <w:iCs w:val="false"/>
          <w:color w:val="1C1A16"/>
          <w:sz w:val="21"/>
          <w:szCs w:val="21"/>
        </w:rPr>
        <w:t xml:space="preserve">_______________________________________________</w:t>
      </w:r>
    </w:p>
    <w:sectPr>
      <w:headerReference w:type="default" r:id="rId6"/>
      <w:footerReference w:type="default" r:id="rId7"/>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80" w:after="0"/>
      <w:jc w:val="left"/>
    </w:pPr>
    <w:r>
      <w:rPr>
        <w:rFonts w:ascii="Arial" w:cs="Arial" w:eastAsia="Arial" w:hAnsi="Arial"/>
        <w:b w:val="false"/>
        <w:bCs w:val="false"/>
        <w:i/>
        <w:iCs/>
        <w:color w:val="AAAAAA"/>
        <w:sz w:val="16"/>
        <w:szCs w:val="16"/>
      </w:rPr>
      <w:t xml:space="preserve">Sources: BLM OR/WA harvest records; Oregon Employment Dept.; USFS Pacific NW Research Station; Hanson (2021); DellaSalla &amp; Hanson (2019); Van Strum (1983); NIFC; Oregon Coast Visitors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spacing w:before="0" w:after="100"/>
      <w:jc w:val="left"/>
    </w:pPr>
    <w:r>
      <w:rPr>
        <w:rFonts w:ascii="Arial" w:cs="Arial" w:eastAsia="Arial" w:hAnsi="Arial"/>
        <w:b w:val="false"/>
        <w:bCs w:val="false"/>
        <w:i w:val="false"/>
        <w:iCs w:val="false"/>
        <w:color w:val="888888"/>
        <w:sz w:val="17"/>
        <w:szCs w:val="17"/>
      </w:rPr>
      <w:t xml:space="preserve">O&amp;C LANDS: ECONOMIC &amp; ECOLOGICAL TRUTH  |  Seal Rock &amp; Waldport Community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bullet"/>
      <w:lvlText w:val="•"/>
      <w:lvlJc w:val="left"/>
      <w:pPr>
        <w:ind w:left="600" w:hanging="300"/>
      </w:pPr>
    </w:lvl>
  </w:abstractNum>
  <w:abstractNum w:abstractNumId="4" w15:restartNumberingAfterBreak="0">
    <w:multiLevelType w:val="hybridMultilevel"/>
    <w:lvl w:ilvl="0" w15:tentative="1">
      <w:start w:val="1"/>
      <w:numFmt w:val="bullet"/>
      <w:lvlText w:val="•"/>
      <w:lvlJc w:val="left"/>
      <w:pPr>
        <w:ind w:left="600" w:hanging="300"/>
      </w:pPr>
    </w:lvl>
  </w:abstractNum>
  <w:abstractNum w:abstractNumId="5" w15:restartNumberingAfterBreak="0">
    <w:multiLevelType w:val="hybridMultilevel"/>
    <w:lvl w:ilvl="0" w15:tentative="1">
      <w:start w:val="1"/>
      <w:numFmt w:val="bullet"/>
      <w:lvlText w:val="•"/>
      <w:lvlJc w:val="left"/>
      <w:pPr>
        <w:ind w:left="600" w:hanging="300"/>
      </w:pPr>
    </w:lvl>
  </w:abstractNum>
  <w:abstractNum w:abstractNumId="6" w15:restartNumberingAfterBreak="0">
    <w:multiLevelType w:val="hybridMultilevel"/>
    <w:lvl w:ilvl="0" w15:tentative="1">
      <w:start w:val="1"/>
      <w:numFmt w:val="bullet"/>
      <w:lvlText w:val="•"/>
      <w:lvlJc w:val="left"/>
      <w:pPr>
        <w:ind w:left="600" w:hanging="300"/>
      </w:pPr>
    </w:lvl>
  </w:abstractNum>
  <w:abstractNum w:abstractNumId="7" w15:restartNumberingAfterBreak="0">
    <w:multiLevelType w:val="hybridMultilevel"/>
    <w:lvl w:ilvl="0" w15:tentative="1">
      <w:start w:val="1"/>
      <w:numFmt w:val="bullet"/>
      <w:lvlText w:val="•"/>
      <w:lvlJc w:val="left"/>
      <w:pPr>
        <w:ind w:left="600" w:hanging="300"/>
      </w:pPr>
    </w:lvl>
  </w:abstractNum>
  <w:abstractNum w:abstractNumId="8" w15:restartNumberingAfterBreak="0">
    <w:multiLevelType w:val="hybridMultilevel"/>
    <w:lvl w:ilvl="0" w15:tentative="1">
      <w:start w:val="1"/>
      <w:numFmt w:val="bullet"/>
      <w:lvlText w:val="•"/>
      <w:lvlJc w:val="left"/>
      <w:pPr>
        <w:ind w:left="600" w:hanging="300"/>
      </w:pPr>
    </w:lvl>
  </w:abstractNum>
  <w:abstractNum w:abstractNumId="9" w15:restartNumberingAfterBreak="0">
    <w:multiLevelType w:val="hybridMultilevel"/>
    <w:lvl w:ilvl="0" w15:tentative="1">
      <w:start w:val="1"/>
      <w:numFmt w:val="bullet"/>
      <w:lvlText w:val="•"/>
      <w:lvlJc w:val="left"/>
      <w:pPr>
        <w:ind w:left="600" w:hanging="300"/>
      </w:pPr>
    </w:lvl>
  </w:abstractNum>
  <w:abstractNum w:abstractNumId="10" w15:restartNumberingAfterBreak="0">
    <w:multiLevelType w:val="hybridMultilevel"/>
    <w:lvl w:ilvl="0" w15:tentative="1">
      <w:start w:val="1"/>
      <w:numFmt w:val="bullet"/>
      <w:lvlText w:val="•"/>
      <w:lvlJc w:val="left"/>
      <w:pPr>
        <w:ind w:left="600" w:hanging="300"/>
      </w:pPr>
    </w:lvl>
  </w:abstractNum>
  <w:abstractNum w:abstractNumId="11" w15:restartNumberingAfterBreak="0">
    <w:multiLevelType w:val="hybridMultilevel"/>
    <w:lvl w:ilvl="0" w15:tentative="1">
      <w:start w:val="1"/>
      <w:numFmt w:val="bullet"/>
      <w:lvlText w:val="•"/>
      <w:lvlJc w:val="left"/>
      <w:pPr>
        <w:ind w:left="600" w:hanging="300"/>
      </w:pPr>
    </w:lvl>
  </w:abstractNum>
  <w:abstractNum w:abstractNumId="12" w15:restartNumberingAfterBreak="0">
    <w:multiLevelType w:val="hybridMultilevel"/>
    <w:lvl w:ilvl="0" w15:tentative="1">
      <w:start w:val="1"/>
      <w:numFmt w:val="bullet"/>
      <w:lvlText w:val="•"/>
      <w:lvlJc w:val="left"/>
      <w:pPr>
        <w:ind w:left="600" w:hanging="300"/>
      </w:pPr>
    </w:lvl>
  </w:abstractNum>
  <w:abstractNum w:abstractNumId="13" w15:restartNumberingAfterBreak="0">
    <w:multiLevelType w:val="hybridMultilevel"/>
    <w:lvl w:ilvl="0" w15:tentative="1">
      <w:start w:val="1"/>
      <w:numFmt w:val="bullet"/>
      <w:lvlText w:val="•"/>
      <w:lvlJc w:val="left"/>
      <w:pPr>
        <w:ind w:left="600" w:hanging="300"/>
      </w:pPr>
    </w:lvl>
  </w:abstractNum>
  <w:abstractNum w:abstractNumId="14" w15:restartNumberingAfterBreak="0">
    <w:multiLevelType w:val="hybridMultilevel"/>
    <w:lvl w:ilvl="0" w15:tentative="1">
      <w:start w:val="1"/>
      <w:numFmt w:val="bullet"/>
      <w:lvlText w:val="•"/>
      <w:lvlJc w:val="left"/>
      <w:pPr>
        <w:ind w:left="600" w:hanging="300"/>
      </w:pPr>
    </w:lvl>
  </w:abstractNum>
  <w:abstractNum w:abstractNumId="15" w15:restartNumberingAfterBreak="0">
    <w:multiLevelType w:val="hybridMultilevel"/>
    <w:lvl w:ilvl="0" w15:tentative="1">
      <w:start w:val="1"/>
      <w:numFmt w:val="bullet"/>
      <w:lvlText w:val="•"/>
      <w:lvlJc w:val="left"/>
      <w:pPr>
        <w:ind w:left="600" w:hanging="300"/>
      </w:pPr>
    </w:lvl>
  </w:abstractNum>
  <w:abstractNum w:abstractNumId="16" w15:restartNumberingAfterBreak="0">
    <w:multiLevelType w:val="hybridMultilevel"/>
    <w:lvl w:ilvl="0" w15:tentative="1">
      <w:start w:val="1"/>
      <w:numFmt w:val="bullet"/>
      <w:lvlText w:val="•"/>
      <w:lvlJc w:val="left"/>
      <w:pPr>
        <w:ind w:left="600" w:hanging="300"/>
      </w:pPr>
    </w:lvl>
  </w:abstractNum>
  <w:abstractNum w:abstractNumId="17"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40" w:after="160"/>
      <w:outlineLvl w:val="0"/>
    </w:pPr>
    <w:rPr>
      <w:rFonts w:ascii="Arial" w:cs="Arial" w:eastAsia="Arial" w:hAnsi="Arial"/>
      <w:b/>
      <w:bCs/>
      <w:color w:val="1A3D2B"/>
      <w:sz w:val="30"/>
      <w:szCs w:val="30"/>
    </w:rPr>
  </w:style>
  <w:style w:type="paragraph" w:styleId="Heading2">
    <w:name w:val="Heading 2"/>
    <w:basedOn w:val="Normal"/>
    <w:next w:val="Normal"/>
    <w:qFormat/>
    <w:pPr>
      <w:spacing w:before="260" w:after="120"/>
      <w:outlineLvl w:val="1"/>
    </w:pPr>
    <w:rPr>
      <w:rFonts w:ascii="Arial" w:cs="Arial" w:eastAsia="Arial" w:hAnsi="Arial"/>
      <w:b/>
      <w:bCs/>
      <w:color w:val="2D6A4F"/>
      <w:sz w:val="25"/>
      <w:szCs w:val="25"/>
    </w:rPr>
  </w:style>
  <w:style w:type="paragraph" w:styleId="Heading3">
    <w:name w:val="Heading 3"/>
    <w:basedOn w:val="Normal"/>
    <w:next w:val="Normal"/>
    <w:qFormat/>
    <w:pPr>
      <w:spacing w:before="180" w:after="80"/>
      <w:outlineLvl w:val="2"/>
    </w:pPr>
    <w:rPr>
      <w:rFonts w:ascii="Arial" w:cs="Arial" w:eastAsia="Arial" w:hAnsi="Arial"/>
      <w:b/>
      <w:bCs/>
      <w:color w:val="1A3D2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2026-03-11T12:39:48.339Z</dcterms:created>
  <dcterms:modified xsi:type="dcterms:W3CDTF">2026-03-11T12:39:48.340Z</dcterms:modified>
</cp:coreProperties>
</file>

<file path=docProps/custom.xml><?xml version="1.0" encoding="utf-8"?>
<Properties xmlns="http://schemas.openxmlformats.org/officeDocument/2006/custom-properties" xmlns:vt="http://schemas.openxmlformats.org/officeDocument/2006/docPropsVTypes"/>
</file>